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339B" w14:textId="77777777" w:rsidR="00000000" w:rsidRDefault="00330BB6">
      <w:pPr>
        <w:rPr>
          <w:rFonts w:eastAsia="Times New Roman"/>
        </w:rPr>
      </w:pPr>
      <w:r>
        <w:rPr>
          <w:rFonts w:ascii="Tahoma" w:eastAsia="Times New Roman" w:hAnsi="Tahoma" w:cs="Tahoma"/>
        </w:rPr>
        <w:t>﻿</w:t>
      </w:r>
    </w:p>
    <w:p w14:paraId="5C2F9CDF" w14:textId="77777777" w:rsidR="00000000" w:rsidRDefault="00330BB6">
      <w:pPr>
        <w:shd w:val="clear" w:color="auto" w:fill="FFFFFF"/>
        <w:jc w:val="center"/>
        <w:divId w:val="2015036732"/>
        <w:rPr>
          <w:rFonts w:eastAsia="Times New Roman"/>
          <w:caps/>
          <w:color w:val="000080"/>
        </w:rPr>
      </w:pPr>
      <w:r>
        <w:rPr>
          <w:rFonts w:eastAsia="Times New Roman"/>
          <w:caps/>
          <w:color w:val="000080"/>
        </w:rPr>
        <w:t>O‘zbekiston Respublikasi Iqtisodiyot va moliya vazirining</w:t>
      </w:r>
    </w:p>
    <w:p w14:paraId="29A1EF81" w14:textId="77777777" w:rsidR="00000000" w:rsidRDefault="00330BB6">
      <w:pPr>
        <w:shd w:val="clear" w:color="auto" w:fill="FFFFFF"/>
        <w:jc w:val="center"/>
        <w:divId w:val="2015036732"/>
        <w:rPr>
          <w:rFonts w:eastAsia="Times New Roman"/>
          <w:caps/>
          <w:color w:val="000080"/>
        </w:rPr>
      </w:pPr>
      <w:r>
        <w:rPr>
          <w:rFonts w:eastAsia="Times New Roman"/>
          <w:caps/>
          <w:color w:val="000080"/>
        </w:rPr>
        <w:t>Buyrug‘i</w:t>
      </w:r>
    </w:p>
    <w:p w14:paraId="446DEF32" w14:textId="77777777" w:rsidR="00000000" w:rsidRDefault="00330BB6">
      <w:pPr>
        <w:shd w:val="clear" w:color="auto" w:fill="FFFFFF"/>
        <w:jc w:val="center"/>
        <w:divId w:val="184440604"/>
        <w:rPr>
          <w:rFonts w:eastAsia="Times New Roman"/>
          <w:b/>
          <w:bCs/>
          <w:caps/>
          <w:color w:val="000080"/>
        </w:rPr>
      </w:pPr>
      <w:r>
        <w:rPr>
          <w:rFonts w:eastAsia="Times New Roman"/>
          <w:b/>
          <w:bCs/>
          <w:caps/>
          <w:color w:val="000080"/>
        </w:rPr>
        <w:t xml:space="preserve">O‘zbekiston Respublikasi buxgalteriya hisobining milliy standarti </w:t>
      </w:r>
      <w:r>
        <w:rPr>
          <w:rFonts w:eastAsia="Times New Roman"/>
          <w:b/>
          <w:bCs/>
          <w:caps/>
          <w:color w:val="000080"/>
        </w:rPr>
        <w:t>(16-sonli BHMS) “Buxgalteriya balansini tuzish sanasidan keyin xo‘jalik faoliyatida yuz beradigan hodisalar va nazarda tutilmagan holatlar”ni tasdiqlash haqida</w:t>
      </w:r>
    </w:p>
    <w:p w14:paraId="487E2801" w14:textId="77777777" w:rsidR="00000000" w:rsidRDefault="00330BB6">
      <w:pPr>
        <w:shd w:val="clear" w:color="auto" w:fill="FFFFFF"/>
        <w:jc w:val="center"/>
        <w:divId w:val="1968118347"/>
        <w:rPr>
          <w:rFonts w:eastAsia="Times New Roman"/>
          <w:b/>
          <w:bCs/>
          <w:color w:val="000000"/>
        </w:rPr>
      </w:pPr>
      <w:r>
        <w:rPr>
          <w:rFonts w:eastAsia="Times New Roman"/>
          <w:b/>
          <w:bCs/>
          <w:color w:val="000000"/>
        </w:rPr>
        <w:t>[O‘zbekiston Respublikasi Adliya vazirligi tomonidan 2024-yil 31-iyulda ro‘yxatdan o‘tkazildi, r</w:t>
      </w:r>
      <w:r>
        <w:rPr>
          <w:rFonts w:eastAsia="Times New Roman"/>
          <w:b/>
          <w:bCs/>
          <w:color w:val="000000"/>
        </w:rPr>
        <w:t>o‘yxat raqami 3539]</w:t>
      </w:r>
    </w:p>
    <w:p w14:paraId="2AD19C36"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 xml:space="preserve">O‘zbekiston Respublikasining “Buxgalteriya hisobi to‘g‘risida”gi </w:t>
      </w:r>
      <w:hyperlink r:id="rId4" w:history="1">
        <w:r>
          <w:rPr>
            <w:rStyle w:val="a3"/>
            <w:rFonts w:eastAsia="Times New Roman"/>
            <w:color w:val="008080"/>
            <w:u w:val="none"/>
          </w:rPr>
          <w:t xml:space="preserve">Qonuniga </w:t>
        </w:r>
      </w:hyperlink>
      <w:r>
        <w:rPr>
          <w:rFonts w:eastAsia="Times New Roman"/>
          <w:color w:val="000000"/>
        </w:rPr>
        <w:t>muvofiq buyuraman:</w:t>
      </w:r>
    </w:p>
    <w:p w14:paraId="46628208"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 O‘zbekiston Respublikasi buxgalteriya hisobining milliy standarti (16-sonli BHMS) “Buxgalteri</w:t>
      </w:r>
      <w:r>
        <w:rPr>
          <w:rFonts w:eastAsia="Times New Roman"/>
          <w:color w:val="000000"/>
        </w:rPr>
        <w:t xml:space="preserve">ya balansini tuzish sanasidan keyin xo‘jalik faoliyatida yuz beradigan hodisalar va nazarda tutilmagan holatlar” </w:t>
      </w:r>
      <w:hyperlink r:id="rId5" w:anchor="-7045130" w:history="1">
        <w:r>
          <w:rPr>
            <w:rStyle w:val="a3"/>
            <w:rFonts w:eastAsia="Times New Roman"/>
            <w:color w:val="008080"/>
            <w:u w:val="none"/>
          </w:rPr>
          <w:t xml:space="preserve">ilovaga </w:t>
        </w:r>
      </w:hyperlink>
      <w:r>
        <w:rPr>
          <w:rFonts w:eastAsia="Times New Roman"/>
          <w:color w:val="000000"/>
        </w:rPr>
        <w:t>muvofiq tasdiqlansin.</w:t>
      </w:r>
    </w:p>
    <w:p w14:paraId="4C235282"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2. O‘zbekiston Respublikasi M</w:t>
      </w:r>
      <w:r>
        <w:rPr>
          <w:rFonts w:eastAsia="Times New Roman"/>
          <w:color w:val="000000"/>
        </w:rPr>
        <w:t xml:space="preserve">oliya vazirligi tomonidan 1998-yil 30-oktabrda 57-son bilan tasdiqlangan O‘zbekiston Respublikasi buxgalteriya hisobining </w:t>
      </w:r>
      <w:hyperlink r:id="rId6" w:history="1">
        <w:r>
          <w:rPr>
            <w:rStyle w:val="a3"/>
            <w:rFonts w:eastAsia="Times New Roman"/>
            <w:color w:val="008080"/>
            <w:u w:val="none"/>
          </w:rPr>
          <w:t>milliy standarti</w:t>
        </w:r>
      </w:hyperlink>
      <w:r>
        <w:rPr>
          <w:rFonts w:eastAsia="Times New Roman"/>
          <w:color w:val="000000"/>
        </w:rPr>
        <w:t xml:space="preserve"> 16-son BHMS “Buxgalteriya balansi tuzilgan sanadan keyingi xo‘jalik fao</w:t>
      </w:r>
      <w:r>
        <w:rPr>
          <w:rFonts w:eastAsia="Times New Roman"/>
          <w:color w:val="000000"/>
        </w:rPr>
        <w:t>liyatining nazarda tutilmagan holatlari va yuz beradigan hodisalari” (ro‘yxat raqami 578, 1998-yil 23-dekabr) (O‘zbekiston Respublikasi vazirliklari, davlat qo‘mitalari va idoralarining normativ hujjatlari axborotnomasi, 1999-yil, 6-son) o‘z kuchini yo‘qot</w:t>
      </w:r>
      <w:r>
        <w:rPr>
          <w:rFonts w:eastAsia="Times New Roman"/>
          <w:color w:val="000000"/>
        </w:rPr>
        <w:t>gan deb topilsin.</w:t>
      </w:r>
    </w:p>
    <w:p w14:paraId="02212AC2"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3. Mazkur buyruq rasmiy e’lon qilingan kundan e’tiboran kuchga kiradi.</w:t>
      </w:r>
    </w:p>
    <w:p w14:paraId="4D720CAC" w14:textId="77777777" w:rsidR="00000000" w:rsidRDefault="00330BB6">
      <w:pPr>
        <w:shd w:val="clear" w:color="auto" w:fill="FFFFFF"/>
        <w:jc w:val="right"/>
        <w:divId w:val="924412976"/>
        <w:rPr>
          <w:rFonts w:eastAsia="Times New Roman"/>
          <w:b/>
          <w:bCs/>
          <w:color w:val="000000"/>
        </w:rPr>
      </w:pPr>
      <w:r>
        <w:rPr>
          <w:rFonts w:eastAsia="Times New Roman"/>
          <w:b/>
          <w:bCs/>
          <w:color w:val="000000"/>
        </w:rPr>
        <w:t>Vazir D. KUChKAROV</w:t>
      </w:r>
    </w:p>
    <w:p w14:paraId="2B5D052B" w14:textId="77777777" w:rsidR="00000000" w:rsidRDefault="00330BB6">
      <w:pPr>
        <w:shd w:val="clear" w:color="auto" w:fill="FFFFFF"/>
        <w:jc w:val="center"/>
        <w:divId w:val="362899687"/>
        <w:rPr>
          <w:rFonts w:eastAsia="Times New Roman"/>
          <w:color w:val="000000"/>
          <w:sz w:val="22"/>
          <w:szCs w:val="22"/>
        </w:rPr>
      </w:pPr>
      <w:r>
        <w:rPr>
          <w:rFonts w:eastAsia="Times New Roman"/>
          <w:color w:val="000000"/>
          <w:sz w:val="22"/>
          <w:szCs w:val="22"/>
        </w:rPr>
        <w:t>Toshkent sh.,</w:t>
      </w:r>
    </w:p>
    <w:p w14:paraId="2A9C1591" w14:textId="77777777" w:rsidR="00000000" w:rsidRDefault="00330BB6">
      <w:pPr>
        <w:shd w:val="clear" w:color="auto" w:fill="FFFFFF"/>
        <w:jc w:val="center"/>
        <w:divId w:val="54012174"/>
        <w:rPr>
          <w:rFonts w:eastAsia="Times New Roman"/>
          <w:color w:val="000000"/>
          <w:sz w:val="22"/>
          <w:szCs w:val="22"/>
        </w:rPr>
      </w:pPr>
      <w:r>
        <w:rPr>
          <w:rFonts w:eastAsia="Times New Roman"/>
          <w:color w:val="000000"/>
          <w:sz w:val="22"/>
          <w:szCs w:val="22"/>
        </w:rPr>
        <w:t>2024-yil 14-iyun,</w:t>
      </w:r>
    </w:p>
    <w:p w14:paraId="40F43870" w14:textId="77777777" w:rsidR="00000000" w:rsidRDefault="00330BB6">
      <w:pPr>
        <w:shd w:val="clear" w:color="auto" w:fill="FFFFFF"/>
        <w:jc w:val="center"/>
        <w:divId w:val="405617329"/>
        <w:rPr>
          <w:rFonts w:eastAsia="Times New Roman"/>
          <w:color w:val="000000"/>
          <w:sz w:val="22"/>
          <w:szCs w:val="22"/>
        </w:rPr>
      </w:pPr>
      <w:r>
        <w:rPr>
          <w:rFonts w:eastAsia="Times New Roman"/>
          <w:color w:val="000000"/>
          <w:sz w:val="22"/>
          <w:szCs w:val="22"/>
        </w:rPr>
        <w:t>139-son</w:t>
      </w:r>
    </w:p>
    <w:p w14:paraId="7425F594" w14:textId="77777777" w:rsidR="00000000" w:rsidRDefault="00330BB6">
      <w:pPr>
        <w:shd w:val="clear" w:color="auto" w:fill="FFFFFF"/>
        <w:jc w:val="center"/>
        <w:divId w:val="581451408"/>
        <w:rPr>
          <w:rFonts w:eastAsia="Times New Roman"/>
          <w:color w:val="000080"/>
          <w:sz w:val="22"/>
          <w:szCs w:val="22"/>
        </w:rPr>
      </w:pPr>
      <w:r>
        <w:rPr>
          <w:rFonts w:eastAsia="Times New Roman"/>
          <w:color w:val="000080"/>
          <w:sz w:val="22"/>
          <w:szCs w:val="22"/>
        </w:rPr>
        <w:t xml:space="preserve">O‘zbekiston Respublikasi iqtisodiyot va moliya vazirining 2024-yil 14-iyundagi 139-son </w:t>
      </w:r>
      <w:hyperlink r:id="rId7" w:history="1">
        <w:r>
          <w:rPr>
            <w:rStyle w:val="a3"/>
            <w:rFonts w:eastAsia="Times New Roman"/>
            <w:color w:val="008080"/>
            <w:sz w:val="22"/>
            <w:szCs w:val="22"/>
            <w:u w:val="none"/>
          </w:rPr>
          <w:t>buyrug‘iga</w:t>
        </w:r>
      </w:hyperlink>
      <w:r>
        <w:rPr>
          <w:rFonts w:eastAsia="Times New Roman"/>
          <w:color w:val="000080"/>
          <w:sz w:val="22"/>
          <w:szCs w:val="22"/>
        </w:rPr>
        <w:br/>
        <w:t>ILOVA</w:t>
      </w:r>
    </w:p>
    <w:p w14:paraId="6F4B273F" w14:textId="77777777" w:rsidR="00000000" w:rsidRDefault="00330BB6">
      <w:pPr>
        <w:shd w:val="clear" w:color="auto" w:fill="FFFFFF"/>
        <w:jc w:val="center"/>
        <w:divId w:val="1046829759"/>
        <w:rPr>
          <w:rFonts w:eastAsia="Times New Roman"/>
          <w:b/>
          <w:bCs/>
          <w:color w:val="000080"/>
        </w:rPr>
      </w:pPr>
      <w:r>
        <w:rPr>
          <w:rStyle w:val="a6"/>
          <w:rFonts w:eastAsia="Times New Roman"/>
          <w:color w:val="000080"/>
        </w:rPr>
        <w:t>O‘zbekiston Respublikasi Buxgalteriya hisobi milliy standarti (16-sonli BHMS) “Buxgalteriya balansini tuzish sanasidan keyin xo‘jalik faoliyatida yuz beradigan hodisalar va nazarda tutilmagan holatlar”</w:t>
      </w:r>
    </w:p>
    <w:p w14:paraId="312D9F16" w14:textId="77777777" w:rsidR="00000000" w:rsidRDefault="00330BB6">
      <w:pPr>
        <w:shd w:val="clear" w:color="auto" w:fill="FFFFFF"/>
        <w:jc w:val="center"/>
        <w:divId w:val="1707750394"/>
        <w:rPr>
          <w:rFonts w:eastAsia="Times New Roman"/>
          <w:b/>
          <w:bCs/>
          <w:color w:val="000080"/>
        </w:rPr>
      </w:pPr>
      <w:r>
        <w:rPr>
          <w:rStyle w:val="a6"/>
          <w:rFonts w:eastAsia="Times New Roman"/>
          <w:color w:val="000080"/>
        </w:rPr>
        <w:t>1-bob. Umumiy qoid</w:t>
      </w:r>
      <w:r>
        <w:rPr>
          <w:rStyle w:val="a6"/>
          <w:rFonts w:eastAsia="Times New Roman"/>
          <w:color w:val="000080"/>
        </w:rPr>
        <w:t>alar</w:t>
      </w:r>
    </w:p>
    <w:p w14:paraId="3E3CEAEE"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 O‘zbekiston Respublikasi buxgalteriya hisobining milliy standarti (16-sonli BHMS) “Buxgalteriya balansini tuzish sanasidan keyin xo‘jalik faoliyatida yuz beradigan hodisalar va nazarda tutilmagan holatlar” (bundan buyon matnda Standart deb yuritila</w:t>
      </w:r>
      <w:r>
        <w:rPr>
          <w:rFonts w:eastAsia="Times New Roman"/>
          <w:color w:val="000000"/>
        </w:rPr>
        <w:t xml:space="preserve">di) O‘zbekiston Respublikasining “Buxgalteriya hisobi to‘g‘risida”gi </w:t>
      </w:r>
      <w:hyperlink r:id="rId8" w:history="1">
        <w:r>
          <w:rPr>
            <w:rStyle w:val="a3"/>
            <w:rFonts w:eastAsia="Times New Roman"/>
            <w:color w:val="008080"/>
            <w:u w:val="none"/>
          </w:rPr>
          <w:t xml:space="preserve">Qonuniga </w:t>
        </w:r>
      </w:hyperlink>
      <w:r>
        <w:rPr>
          <w:rFonts w:eastAsia="Times New Roman"/>
          <w:color w:val="000000"/>
        </w:rPr>
        <w:t>asosan ishlab chiqilgan va O‘zbekiston Respublikasida buxgalteriya hisobini normativ tartibga solish elementi hisoblanadi.</w:t>
      </w:r>
    </w:p>
    <w:p w14:paraId="420D816E"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2. Mazku</w:t>
      </w:r>
      <w:r>
        <w:rPr>
          <w:rFonts w:eastAsia="Times New Roman"/>
          <w:color w:val="000000"/>
        </w:rPr>
        <w:t>r Standart budjet, banklar va nobank kredit tashkilotlaridan tashqari mulkchilik shaklidan qat’iy nazar O‘zbekiston Respublikasida faoliyat yuritayotgan yuridik shaxslar (bundan buyon matnda tashkilot deb yuritiladi) tomonidan nazarda tutilmagan holatlar h</w:t>
      </w:r>
      <w:r>
        <w:rPr>
          <w:rFonts w:eastAsia="Times New Roman"/>
          <w:color w:val="000000"/>
        </w:rPr>
        <w:t>amda buxgalteriya balansini tuzish sanasidan keyin xo‘jalik faoliyatida yuz beradigan hodisalarni buxgalteriya hisobida hisobga olish va yoritib berish uchun qo‘llaniladi.</w:t>
      </w:r>
    </w:p>
    <w:p w14:paraId="1B2B320E"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3. Nazarda tutilmagan holatlarning yuz berishiga olib keladigan quyidagi hodisalar m</w:t>
      </w:r>
      <w:r>
        <w:rPr>
          <w:rFonts w:eastAsia="Times New Roman"/>
          <w:color w:val="000000"/>
        </w:rPr>
        <w:t>azkur Standartning amal qilish sohasiga kirmaydi:</w:t>
      </w:r>
    </w:p>
    <w:p w14:paraId="632BF570"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sug‘urta kompaniyasining hayotni sug‘urta qilish bo‘yicha berilgan sug‘urta polislari bo‘yicha yuzaga keladigan majburiyatlari;</w:t>
      </w:r>
    </w:p>
    <w:p w14:paraId="2873A5ED"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moliyaviy ijara (lizing) shartnomalari bo‘yicha yuzaga keladigan majburiyatlar</w:t>
      </w:r>
      <w:r>
        <w:rPr>
          <w:rFonts w:eastAsia="Times New Roman"/>
          <w:color w:val="000000"/>
        </w:rPr>
        <w:t>;</w:t>
      </w:r>
    </w:p>
    <w:p w14:paraId="77B13F93"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soliq stavkalari yoki soliq qonunchiligidagi o‘zgarishlar.</w:t>
      </w:r>
    </w:p>
    <w:p w14:paraId="65E0D95F"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4. Mazkur Standartda quyidagi asosiy tushunchalardan foydalaniladi:</w:t>
      </w:r>
    </w:p>
    <w:p w14:paraId="7DFFEBCC" w14:textId="77777777" w:rsidR="00000000" w:rsidRDefault="00330BB6">
      <w:pPr>
        <w:shd w:val="clear" w:color="auto" w:fill="FFFFFF"/>
        <w:ind w:firstLine="851"/>
        <w:jc w:val="both"/>
        <w:divId w:val="2015036732"/>
        <w:rPr>
          <w:rFonts w:eastAsia="Times New Roman"/>
          <w:color w:val="000000"/>
        </w:rPr>
      </w:pPr>
      <w:r>
        <w:rPr>
          <w:rStyle w:val="a6"/>
          <w:rFonts w:eastAsia="Times New Roman"/>
          <w:color w:val="000000"/>
        </w:rPr>
        <w:t>nazarda tutilmagan holatlar</w:t>
      </w:r>
      <w:r>
        <w:rPr>
          <w:rFonts w:eastAsia="Times New Roman"/>
          <w:color w:val="000000"/>
        </w:rPr>
        <w:t xml:space="preserve"> — bu shunday vaziyatki, uning yakuniy natijasi </w:t>
      </w:r>
      <w:r>
        <w:rPr>
          <w:rFonts w:eastAsia="Times New Roman"/>
          <w:color w:val="000000"/>
        </w:rPr>
        <w:t>(foyda yoki zarar) kelgusida bitta yoki bir nechta noaniq hodisalarning sodir bo‘lishiga qarab tasdiqlanadi. Bunda, buxgalteriya balansi tuzilganidan keyin noaniq hodisalarning sodir bo‘lishi natijasida tashkilot foyda oladi yoki zarar ko‘radi.</w:t>
      </w:r>
    </w:p>
    <w:p w14:paraId="5E05EC97" w14:textId="77777777" w:rsidR="00000000" w:rsidRDefault="00330BB6">
      <w:pPr>
        <w:shd w:val="clear" w:color="auto" w:fill="FFFFFF"/>
        <w:ind w:firstLine="851"/>
        <w:jc w:val="both"/>
        <w:divId w:val="2015036732"/>
        <w:rPr>
          <w:rFonts w:eastAsia="Times New Roman"/>
          <w:color w:val="000000"/>
        </w:rPr>
      </w:pPr>
      <w:r>
        <w:rPr>
          <w:rStyle w:val="a6"/>
          <w:rFonts w:eastAsia="Times New Roman"/>
          <w:color w:val="000000"/>
        </w:rPr>
        <w:t>buxgalteriya balansini tuzish sanasidan keyin xo‘jalik faoliyatida yuz beradigan hodisalar —</w:t>
      </w:r>
      <w:r>
        <w:rPr>
          <w:rFonts w:eastAsia="Times New Roman"/>
          <w:color w:val="000000"/>
        </w:rPr>
        <w:t xml:space="preserve"> bu buxgalteriya balansini tuzish sanasi bilan moliyaviy hisobotni e’lon qilish uchun tasdiqlash sanasi o‘rtasidagi davrda yuz beradigan tashkilotga ijobiy va salbi</w:t>
      </w:r>
      <w:r>
        <w:rPr>
          <w:rFonts w:eastAsia="Times New Roman"/>
          <w:color w:val="000000"/>
        </w:rPr>
        <w:t>y ta’sir ko‘rsatadigan hodisalardir.</w:t>
      </w:r>
    </w:p>
    <w:p w14:paraId="245243E2"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5. Buxgalteriya balansini tuzish sanasidan keyin xo‘jalik faoliyatida yuz beradigan hodisalar quyidagi turlarga bo‘linadi:</w:t>
      </w:r>
    </w:p>
    <w:p w14:paraId="03030594"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buxgalteriya balansini tuzish sanasida mavjud bo‘lgan va kelgusida yuz beradigan hodisalar;</w:t>
      </w:r>
    </w:p>
    <w:p w14:paraId="25F9B564"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buxg</w:t>
      </w:r>
      <w:r>
        <w:rPr>
          <w:rFonts w:eastAsia="Times New Roman"/>
          <w:color w:val="000000"/>
        </w:rPr>
        <w:t>alteriya balansini tuzish sanasida (sanasidan keyin) mavjud bo‘lmagan va kelgusida yuz beradigan hodisalar.</w:t>
      </w:r>
    </w:p>
    <w:p w14:paraId="77B080C3" w14:textId="77777777" w:rsidR="00000000" w:rsidRDefault="00330BB6">
      <w:pPr>
        <w:shd w:val="clear" w:color="auto" w:fill="FFFFFF"/>
        <w:jc w:val="center"/>
        <w:divId w:val="547760931"/>
        <w:rPr>
          <w:rFonts w:eastAsia="Times New Roman"/>
          <w:b/>
          <w:bCs/>
          <w:color w:val="000080"/>
        </w:rPr>
      </w:pPr>
      <w:r>
        <w:rPr>
          <w:rStyle w:val="a6"/>
          <w:rFonts w:eastAsia="Times New Roman"/>
          <w:color w:val="000080"/>
        </w:rPr>
        <w:t>2-bob. Nazarda tutilmagan holatlar</w:t>
      </w:r>
    </w:p>
    <w:p w14:paraId="4948BBF7"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6. Nazarda tutilmagan holatlar moliyaviy hisobotda hisoblash prinsipiga muvofiq aks ettiriladi.</w:t>
      </w:r>
    </w:p>
    <w:p w14:paraId="065FC7C7"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7. Nazarda tutilm</w:t>
      </w:r>
      <w:r>
        <w:rPr>
          <w:rFonts w:eastAsia="Times New Roman"/>
          <w:color w:val="000000"/>
        </w:rPr>
        <w:t>agan holatlar moliyaviy hisobotlarda quyidagicha ko‘rsatilishi mumkin:</w:t>
      </w:r>
    </w:p>
    <w:p w14:paraId="237FD6FD"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miqdori bo‘yicha;</w:t>
      </w:r>
    </w:p>
    <w:p w14:paraId="7A677C80"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umumiy tavsifi bo‘yicha.</w:t>
      </w:r>
    </w:p>
    <w:p w14:paraId="6F203D79"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8. Nazarda tutilmagan holatlarning oqibatlari va moliyaviy ta’sirini baholash tashkilot rahbari tomonidan amalga oshiriladi.</w:t>
      </w:r>
    </w:p>
    <w:p w14:paraId="42E33847"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Ushbu baholash mo</w:t>
      </w:r>
      <w:r>
        <w:rPr>
          <w:rFonts w:eastAsia="Times New Roman"/>
          <w:color w:val="000000"/>
        </w:rPr>
        <w:t>liyaviy hisobotlarni e’lon qilish uchun tasdiqlash paytida amalga oshiriladi.</w:t>
      </w:r>
    </w:p>
    <w:p w14:paraId="21F2D63C" w14:textId="77777777" w:rsidR="00000000" w:rsidRDefault="00330BB6">
      <w:pPr>
        <w:shd w:val="clear" w:color="auto" w:fill="FFFFFF"/>
        <w:jc w:val="center"/>
        <w:divId w:val="1830554687"/>
        <w:rPr>
          <w:rFonts w:eastAsia="Times New Roman"/>
          <w:b/>
          <w:bCs/>
          <w:color w:val="000080"/>
        </w:rPr>
      </w:pPr>
      <w:r>
        <w:rPr>
          <w:rStyle w:val="a6"/>
          <w:rFonts w:eastAsia="Times New Roman"/>
          <w:color w:val="000080"/>
        </w:rPr>
        <w:t>3-bob. Nazarda tutilmagan holatlar bo‘yicha foyda va zararlar hisobi</w:t>
      </w:r>
    </w:p>
    <w:p w14:paraId="7C11787C"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 xml:space="preserve">9. Nazarda tutilmagan holatlar bo‘yicha foyda moliyaviy hisobotlarda daromad sifatida ko‘rsatilmasligi kerak </w:t>
      </w:r>
      <w:r>
        <w:rPr>
          <w:rFonts w:eastAsia="Times New Roman"/>
          <w:color w:val="000000"/>
        </w:rPr>
        <w:t>(foyda olish ehtimoli yuqori bo‘lgan vaziyatlar bundan mustasno). Foyda olish ehtimoli yuqori bo‘lgan vaziyatlarda bunday foyda nazarda tutilmagan holatlar bo‘yicha foyda deb hisoblanmaydi va u moliyaviy hisobotlarda tan olinadi.</w:t>
      </w:r>
    </w:p>
    <w:p w14:paraId="45483232"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10. Nazarda tutilmagan hol</w:t>
      </w:r>
      <w:r>
        <w:rPr>
          <w:rFonts w:eastAsia="Times New Roman"/>
          <w:color w:val="000000"/>
        </w:rPr>
        <w:t>atlar bo‘yicha zararlar hisobi nazarda tutilmagan holatlar natijalariga ko‘ra olib boriladi. Agar nazarda tutilmagan holat tashkilotni zarar ko‘rishga olib kelishi ehtimoli mavjud bo‘lsa, bunday zararni moliyaviy hisobotlarda aks ettirish maqsadga muvofiqd</w:t>
      </w:r>
      <w:r>
        <w:rPr>
          <w:rFonts w:eastAsia="Times New Roman"/>
          <w:color w:val="000000"/>
        </w:rPr>
        <w:t>ir.</w:t>
      </w:r>
    </w:p>
    <w:p w14:paraId="7DBA7975"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11. Nazarda tutilmagan holatlar bo‘yicha zararlar miqdori moliyaviy hisobotda majburiyat sifatida ko‘rib chiqilishi kerak, agar:</w:t>
      </w:r>
    </w:p>
    <w:p w14:paraId="75D280C6"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buxgalteriya balansini tuzish sanasida kelgusidagi hodisalar natijasida aktivlar qiymatini pasaytirib yuborish ehtimoli bo‘</w:t>
      </w:r>
      <w:r>
        <w:rPr>
          <w:rFonts w:eastAsia="Times New Roman"/>
          <w:color w:val="000000"/>
        </w:rPr>
        <w:t>lsa;</w:t>
      </w:r>
    </w:p>
    <w:p w14:paraId="27A33520"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kelgusida ko‘riladigan zararlar qiymatini (bahosini) aniqlash imkoniyati mavjud bo‘lsa.</w:t>
      </w:r>
    </w:p>
    <w:p w14:paraId="3B39D694"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 xml:space="preserve">12. Nazarda tutilmagan holatlar bo‘yicha zararlarning mavjudligi mazkur Standartning </w:t>
      </w:r>
      <w:hyperlink r:id="rId9" w:history="1">
        <w:r>
          <w:rPr>
            <w:rStyle w:val="a3"/>
            <w:rFonts w:eastAsia="Times New Roman"/>
            <w:color w:val="008080"/>
            <w:u w:val="none"/>
          </w:rPr>
          <w:t>11-bandiga</w:t>
        </w:r>
      </w:hyperlink>
      <w:r>
        <w:rPr>
          <w:rFonts w:eastAsia="Times New Roman"/>
          <w:color w:val="000000"/>
        </w:rPr>
        <w:t xml:space="preserve"> muvofiq aks ettiril</w:t>
      </w:r>
      <w:r>
        <w:rPr>
          <w:rFonts w:eastAsia="Times New Roman"/>
          <w:color w:val="000000"/>
        </w:rPr>
        <w:t>ishi bilan birga moliyaviy hisobotlarga izohlarda yoritib berilishi kerak, bundan zarar ko‘rish ehtimoli kam bo‘lgan holatlar mustasno.</w:t>
      </w:r>
    </w:p>
    <w:p w14:paraId="34E9D052"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13. Ishlab chiqarish faoliyatida umumiy yoki nomuayyan xatarlar uchun hisoblangan summalar nazarda tutilmagan holatlar h</w:t>
      </w:r>
      <w:r>
        <w:rPr>
          <w:rFonts w:eastAsia="Times New Roman"/>
          <w:color w:val="000000"/>
        </w:rPr>
        <w:t>isoblanmaydi va buxgalteriya balansini tuzish sanasida nazarda tutilmagan holatlar sifatida tan olinmaydi.</w:t>
      </w:r>
    </w:p>
    <w:p w14:paraId="08E9AA7E"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14. Nazarda tutilmagan holatlar soliqqa tortishga hamda davrga taalluqli bo‘lgan, moliyaviy hisobotda aks ettirilgan va balansni tuzish sanasidan key</w:t>
      </w:r>
      <w:r>
        <w:rPr>
          <w:rFonts w:eastAsia="Times New Roman"/>
          <w:color w:val="000000"/>
        </w:rPr>
        <w:t>in moliyaviy hisobotlar tasdiqlangunigacha taklif etilgan yoki e’lon qilingan dividendlarga ta’sir o‘tkazgan xollarda, moliyaviy hisobotga tuzatishlar kiritilishi yoki moliyaviy hisobotlarga izohlarda yoritib berilishi kerak.</w:t>
      </w:r>
    </w:p>
    <w:p w14:paraId="073E48F1" w14:textId="77777777" w:rsidR="00000000" w:rsidRDefault="00330BB6">
      <w:pPr>
        <w:shd w:val="clear" w:color="auto" w:fill="FFFFFF"/>
        <w:jc w:val="center"/>
        <w:divId w:val="1275400201"/>
        <w:rPr>
          <w:rFonts w:eastAsia="Times New Roman"/>
          <w:b/>
          <w:bCs/>
          <w:color w:val="000080"/>
        </w:rPr>
      </w:pPr>
      <w:r>
        <w:rPr>
          <w:rStyle w:val="a6"/>
          <w:rFonts w:eastAsia="Times New Roman"/>
          <w:color w:val="000080"/>
        </w:rPr>
        <w:t>4-bob. Nazarda tutilmagan hola</w:t>
      </w:r>
      <w:r>
        <w:rPr>
          <w:rStyle w:val="a6"/>
          <w:rFonts w:eastAsia="Times New Roman"/>
          <w:color w:val="000080"/>
        </w:rPr>
        <w:t>tlarni baholash va yoritib berish</w:t>
      </w:r>
    </w:p>
    <w:p w14:paraId="7B80FC9F"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15. Moliyaviy hisobotlarda ko‘rsatiladigan nazarda tutilmagan holatlar summasi moliyaviy hisobotlarni e’lon qilish uchun tasdiqlash sanasida baholanadi. Buxgalteriya balansini tuzish sanasidan keyin yuz beradigan va aktivl</w:t>
      </w:r>
      <w:r>
        <w:rPr>
          <w:rFonts w:eastAsia="Times New Roman"/>
          <w:color w:val="000000"/>
        </w:rPr>
        <w:t>ar qiymatini kamaytiradigan yoki majburiyatlarni yuzaga keltiradigan hodisalar nazarda tutilmagan holatlar bo‘yicha moliyaviy hisobotlarda hisobga olinishi kerak.</w:t>
      </w:r>
    </w:p>
    <w:p w14:paraId="1E684D02"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16. Agar nazarda tutilmagan holatlarning vujudga kelish ehtimolini hosil qiladigan vaziyat sh</w:t>
      </w:r>
      <w:r>
        <w:rPr>
          <w:rFonts w:eastAsia="Times New Roman"/>
          <w:color w:val="000000"/>
        </w:rPr>
        <w:t>unga o‘xshash ko‘plab vaziyatlar bilan bir xil bo‘lsa, ayrim nazarda tutilmagan holatlarning ahamiyatini aks ettiruvchi summa shunday vaziyatlar guruhida ko‘rsatiladi (masalan, sotilgan tovarlar bo‘yicha kafolatlar, shubhali debitorlik qarzlari).</w:t>
      </w:r>
    </w:p>
    <w:p w14:paraId="225F1946"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 xml:space="preserve">17. Agar </w:t>
      </w:r>
      <w:r>
        <w:rPr>
          <w:rFonts w:eastAsia="Times New Roman"/>
          <w:color w:val="000000"/>
        </w:rPr>
        <w:t>nazarda tutilmagan holatlar bo‘yicha zarar moliyaviy hisobotda tan olinmasa, uning moliyaviy ta’siri mohiyati va bahosi moliyaviy hisobotga izohlarda yoritib beriladi, zarar ko‘rish ehtimoli kam bo‘lgan hollar bundan mustasno.</w:t>
      </w:r>
    </w:p>
    <w:p w14:paraId="35595A36"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18. Nazarda tutilmagan holatl</w:t>
      </w:r>
      <w:r>
        <w:rPr>
          <w:rFonts w:eastAsia="Times New Roman"/>
          <w:color w:val="000000"/>
        </w:rPr>
        <w:t>arni yoritib berish zaruriyati bo‘lganda, quyidagi ma’lumotlar yoritib berilishi kerak:</w:t>
      </w:r>
    </w:p>
    <w:p w14:paraId="3FE6A3E8"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nazarda tutilmagan holatlarning mohiyati;</w:t>
      </w:r>
    </w:p>
    <w:p w14:paraId="0E2AD067"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 xml:space="preserve">kelgusidagi </w:t>
      </w:r>
      <w:r>
        <w:rPr>
          <w:rFonts w:eastAsia="Times New Roman"/>
          <w:color w:val="000000"/>
        </w:rPr>
        <w:t>natijalarga ta’sir etishi mumkin bo‘lgan noaniq hodisalar;</w:t>
      </w:r>
    </w:p>
    <w:p w14:paraId="1B89C015"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moliyaviy ta’sirni baholash yoki bunday baholashni o‘tkazish mumkin emasligini isboti.</w:t>
      </w:r>
    </w:p>
    <w:p w14:paraId="0E9AB61B" w14:textId="77777777" w:rsidR="00000000" w:rsidRDefault="00330BB6">
      <w:pPr>
        <w:shd w:val="clear" w:color="auto" w:fill="FFFFFF"/>
        <w:jc w:val="center"/>
        <w:divId w:val="933243863"/>
        <w:rPr>
          <w:rFonts w:eastAsia="Times New Roman"/>
          <w:b/>
          <w:bCs/>
          <w:color w:val="000080"/>
        </w:rPr>
      </w:pPr>
      <w:r>
        <w:rPr>
          <w:rStyle w:val="a6"/>
          <w:rFonts w:eastAsia="Times New Roman"/>
          <w:color w:val="000080"/>
        </w:rPr>
        <w:t>5-bob. Buxgalteriya balansini tuzish sanasidan keyin xo‘jalik faoliyatida yuz beradigan hodisalar va yoritib b</w:t>
      </w:r>
      <w:r>
        <w:rPr>
          <w:rStyle w:val="a6"/>
          <w:rFonts w:eastAsia="Times New Roman"/>
          <w:color w:val="000080"/>
        </w:rPr>
        <w:t>erish</w:t>
      </w:r>
    </w:p>
    <w:p w14:paraId="6048E06E"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19. Buxgalteriya balansini tuzish sanasi bilan moliyaviy hisobotlarni e’lon qilish uchun tasdiqlash sanasi o‘rtasida yuz beradigan hodisalar aktivlarga va majburiyatlarga tuzatishlar kiritish zaruratini yoki ularni yoritib berish zaruratini ko‘rsatis</w:t>
      </w:r>
      <w:r>
        <w:rPr>
          <w:rFonts w:eastAsia="Times New Roman"/>
          <w:color w:val="000000"/>
        </w:rPr>
        <w:t>hi mumkin.</w:t>
      </w:r>
    </w:p>
    <w:p w14:paraId="66D6C5C2"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20. Aktivlar va majburiyatlar qiymati buxgalteriya balansini tuzish sanasidan keyin xo‘jalik faoliyatida yuz bergan, tashkilotga nisbatan faoliyatning uzluksizligi prinsipi amal qilmay qolganligini, ya’ni tashkilot to‘lovga qobiliyatsiz bo‘lganl</w:t>
      </w:r>
      <w:r>
        <w:rPr>
          <w:rFonts w:eastAsia="Times New Roman"/>
          <w:color w:val="000000"/>
        </w:rPr>
        <w:t>igini ko‘rsatuvchi hodisalar bo‘yicha tuzatilishi kerak.</w:t>
      </w:r>
    </w:p>
    <w:p w14:paraId="586D8F99"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21. Aktivlar va majburiyatlarga tuzatishlar buxgalteriya balansini tuzish sanasidan keyin yuz bergan, buxgalteriya balansini tuzish sanasida miqdorlarni aniqlash uchun qo‘shimcha ma’lumotni ta’minlay</w:t>
      </w:r>
      <w:r>
        <w:rPr>
          <w:rFonts w:eastAsia="Times New Roman"/>
          <w:color w:val="000000"/>
        </w:rPr>
        <w:t>digan hodisalar bo‘yicha amalga oshiriladi. Masalan, buxgalteriya balansini tuzish sanasidan keyin yuz bergan mijozning to‘lovga qobiliyatsizligini tasdiqlaydigan qarz bo‘yicha zararlarga tuzatish kiritish mumkin.</w:t>
      </w:r>
    </w:p>
    <w:p w14:paraId="7E2ABE8A"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22. Buxgalteriya balansini tuzish sanasida</w:t>
      </w:r>
      <w:r>
        <w:rPr>
          <w:rFonts w:eastAsia="Times New Roman"/>
          <w:color w:val="000000"/>
        </w:rPr>
        <w:t>n keyin yuz bergan xo‘jalik faoliyatidagi hodisalar tashkilotning faoliyatning uzluksizligi prinsipiga mos kelmay qolishini ko‘rsatishi mumkin. Bunda, tashkilotning buxgalteriya balansi moliyaviy holat yomonlashganligini ko‘rsatadi va moliyaviy hisobotni e</w:t>
      </w:r>
      <w:r>
        <w:rPr>
          <w:rFonts w:eastAsia="Times New Roman"/>
          <w:color w:val="000000"/>
        </w:rPr>
        <w:t>’lon qilish uchun tasdiqlashda faoliyatning uzluksizligi prinsipiga muvofiqligi masalasi ko‘rib chiqiladi.</w:t>
      </w:r>
    </w:p>
    <w:p w14:paraId="48DCABCB"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23. Agar buxgalteriya balansini tuzish sanasidan keyin yuz bergan hodisalar moliyaviy hisobotni tuzish sanasida aktivlar va majburiyatlarga ta’sir o‘</w:t>
      </w:r>
      <w:r>
        <w:rPr>
          <w:rFonts w:eastAsia="Times New Roman"/>
          <w:color w:val="000000"/>
        </w:rPr>
        <w:t>tkazmagan, ammo ular muhim ahamiyat kasb etgan bo‘lsa, bunday ma’lumotni yoritib bermaslik moliyaviy hisobotlardan foydalanuvchilarning qarorlarini tahlil etishi va qabul qilishiga ta’sir etishi mumkin. Bunday holatlarda ushbu hodisalarning mohiyati moliya</w:t>
      </w:r>
      <w:r>
        <w:rPr>
          <w:rFonts w:eastAsia="Times New Roman"/>
          <w:color w:val="000000"/>
        </w:rPr>
        <w:t>viy hisobotga izohlarda yoritib beriladi.</w:t>
      </w:r>
    </w:p>
    <w:p w14:paraId="54B767BB"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24. Agar buxgalteriya balansini tuzish sanasidan keyin yuz bergan xo‘jalik faoliyatidagi hodisalarni yoritib berish talab etiladigan bo‘lsa, quyidagi ma’lumot taqdim etilishi kerak:</w:t>
      </w:r>
    </w:p>
    <w:p w14:paraId="1B135ABC"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operatsiyaning mohiyati;</w:t>
      </w:r>
    </w:p>
    <w:p w14:paraId="508CA40E" w14:textId="77777777" w:rsidR="00000000" w:rsidRDefault="00330BB6">
      <w:pPr>
        <w:shd w:val="clear" w:color="auto" w:fill="FFFFFF"/>
        <w:ind w:firstLine="851"/>
        <w:jc w:val="both"/>
        <w:divId w:val="2015036732"/>
        <w:rPr>
          <w:rFonts w:eastAsia="Times New Roman"/>
          <w:color w:val="000000"/>
        </w:rPr>
      </w:pPr>
      <w:r>
        <w:rPr>
          <w:rFonts w:eastAsia="Times New Roman"/>
          <w:color w:val="000000"/>
        </w:rPr>
        <w:t>moliyav</w:t>
      </w:r>
      <w:r>
        <w:rPr>
          <w:rFonts w:eastAsia="Times New Roman"/>
          <w:color w:val="000000"/>
        </w:rPr>
        <w:t>iy ta’sirga baho berish yoki bunday baholashni o‘tkazish mumkin emasligi to‘g‘risidagi ma’lumot.</w:t>
      </w:r>
    </w:p>
    <w:p w14:paraId="3E7E8B0C" w14:textId="77777777" w:rsidR="00000000" w:rsidRDefault="00330BB6">
      <w:pPr>
        <w:shd w:val="clear" w:color="auto" w:fill="FFFFFF"/>
        <w:divId w:val="2015036732"/>
        <w:rPr>
          <w:rFonts w:eastAsia="Times New Roman"/>
        </w:rPr>
      </w:pPr>
    </w:p>
    <w:p w14:paraId="17A91CA9" w14:textId="77777777" w:rsidR="00330BB6" w:rsidRDefault="00330BB6">
      <w:pPr>
        <w:shd w:val="clear" w:color="auto" w:fill="FFFFFF"/>
        <w:jc w:val="center"/>
        <w:divId w:val="1981424635"/>
        <w:rPr>
          <w:rFonts w:eastAsia="Times New Roman"/>
          <w:i/>
          <w:iCs/>
          <w:color w:val="800000"/>
          <w:sz w:val="22"/>
          <w:szCs w:val="22"/>
        </w:rPr>
      </w:pPr>
      <w:r>
        <w:rPr>
          <w:rFonts w:eastAsia="Times New Roman"/>
          <w:i/>
          <w:iCs/>
          <w:color w:val="800000"/>
          <w:sz w:val="22"/>
          <w:szCs w:val="22"/>
        </w:rPr>
        <w:t>(Qonunchilik ma’lumotlari milliy bazasi, 03.08.2024-y., 10/24/3539/0572)</w:t>
      </w:r>
    </w:p>
    <w:sectPr w:rsidR="00330BB6">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59F5"/>
    <w:rsid w:val="000759F5"/>
    <w:rsid w:val="00330BB6"/>
    <w:rsid w:val="00675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B4161"/>
  <w15:chartTrackingRefBased/>
  <w15:docId w15:val="{6BF54C7A-1041-4144-8C55-2D5AD26C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036732">
      <w:marLeft w:val="0"/>
      <w:marRight w:val="0"/>
      <w:marTop w:val="100"/>
      <w:marBottom w:val="100"/>
      <w:divBdr>
        <w:top w:val="none" w:sz="0" w:space="0" w:color="auto"/>
        <w:left w:val="none" w:sz="0" w:space="0" w:color="auto"/>
        <w:bottom w:val="none" w:sz="0" w:space="0" w:color="auto"/>
        <w:right w:val="none" w:sz="0" w:space="0" w:color="auto"/>
      </w:divBdr>
      <w:divsChild>
        <w:div w:id="184440604">
          <w:marLeft w:val="0"/>
          <w:marRight w:val="0"/>
          <w:marTop w:val="240"/>
          <w:marBottom w:val="120"/>
          <w:divBdr>
            <w:top w:val="none" w:sz="0" w:space="0" w:color="auto"/>
            <w:left w:val="none" w:sz="0" w:space="0" w:color="auto"/>
            <w:bottom w:val="none" w:sz="0" w:space="0" w:color="auto"/>
            <w:right w:val="none" w:sz="0" w:space="0" w:color="auto"/>
          </w:divBdr>
        </w:div>
        <w:div w:id="1968118347">
          <w:marLeft w:val="0"/>
          <w:marRight w:val="0"/>
          <w:marTop w:val="0"/>
          <w:marBottom w:val="120"/>
          <w:divBdr>
            <w:top w:val="none" w:sz="0" w:space="0" w:color="auto"/>
            <w:left w:val="none" w:sz="0" w:space="0" w:color="auto"/>
            <w:bottom w:val="none" w:sz="0" w:space="0" w:color="auto"/>
            <w:right w:val="none" w:sz="0" w:space="0" w:color="auto"/>
          </w:divBdr>
        </w:div>
        <w:div w:id="924412976">
          <w:marLeft w:val="0"/>
          <w:marRight w:val="0"/>
          <w:marTop w:val="120"/>
          <w:marBottom w:val="120"/>
          <w:divBdr>
            <w:top w:val="none" w:sz="0" w:space="0" w:color="auto"/>
            <w:left w:val="none" w:sz="0" w:space="0" w:color="auto"/>
            <w:bottom w:val="none" w:sz="0" w:space="0" w:color="auto"/>
            <w:right w:val="none" w:sz="0" w:space="0" w:color="auto"/>
          </w:divBdr>
        </w:div>
        <w:div w:id="362899687">
          <w:marLeft w:val="0"/>
          <w:marRight w:val="70"/>
          <w:marTop w:val="0"/>
          <w:marBottom w:val="0"/>
          <w:divBdr>
            <w:top w:val="none" w:sz="0" w:space="0" w:color="auto"/>
            <w:left w:val="none" w:sz="0" w:space="0" w:color="auto"/>
            <w:bottom w:val="none" w:sz="0" w:space="0" w:color="auto"/>
            <w:right w:val="none" w:sz="0" w:space="0" w:color="auto"/>
          </w:divBdr>
        </w:div>
        <w:div w:id="54012174">
          <w:marLeft w:val="0"/>
          <w:marRight w:val="70"/>
          <w:marTop w:val="0"/>
          <w:marBottom w:val="0"/>
          <w:divBdr>
            <w:top w:val="none" w:sz="0" w:space="0" w:color="auto"/>
            <w:left w:val="none" w:sz="0" w:space="0" w:color="auto"/>
            <w:bottom w:val="none" w:sz="0" w:space="0" w:color="auto"/>
            <w:right w:val="none" w:sz="0" w:space="0" w:color="auto"/>
          </w:divBdr>
        </w:div>
        <w:div w:id="405617329">
          <w:marLeft w:val="0"/>
          <w:marRight w:val="70"/>
          <w:marTop w:val="0"/>
          <w:marBottom w:val="0"/>
          <w:divBdr>
            <w:top w:val="none" w:sz="0" w:space="0" w:color="auto"/>
            <w:left w:val="none" w:sz="0" w:space="0" w:color="auto"/>
            <w:bottom w:val="none" w:sz="0" w:space="0" w:color="auto"/>
            <w:right w:val="none" w:sz="0" w:space="0" w:color="auto"/>
          </w:divBdr>
        </w:div>
        <w:div w:id="581451408">
          <w:marLeft w:val="66"/>
          <w:marRight w:val="0"/>
          <w:marTop w:val="200"/>
          <w:marBottom w:val="240"/>
          <w:divBdr>
            <w:top w:val="none" w:sz="0" w:space="0" w:color="auto"/>
            <w:left w:val="none" w:sz="0" w:space="0" w:color="auto"/>
            <w:bottom w:val="none" w:sz="0" w:space="0" w:color="auto"/>
            <w:right w:val="none" w:sz="0" w:space="0" w:color="auto"/>
          </w:divBdr>
        </w:div>
        <w:div w:id="1046829759">
          <w:marLeft w:val="0"/>
          <w:marRight w:val="0"/>
          <w:marTop w:val="0"/>
          <w:marBottom w:val="120"/>
          <w:divBdr>
            <w:top w:val="none" w:sz="0" w:space="0" w:color="auto"/>
            <w:left w:val="none" w:sz="0" w:space="0" w:color="auto"/>
            <w:bottom w:val="none" w:sz="0" w:space="0" w:color="auto"/>
            <w:right w:val="none" w:sz="0" w:space="0" w:color="auto"/>
          </w:divBdr>
        </w:div>
        <w:div w:id="1707750394">
          <w:marLeft w:val="0"/>
          <w:marRight w:val="0"/>
          <w:marTop w:val="120"/>
          <w:marBottom w:val="60"/>
          <w:divBdr>
            <w:top w:val="none" w:sz="0" w:space="0" w:color="auto"/>
            <w:left w:val="none" w:sz="0" w:space="0" w:color="auto"/>
            <w:bottom w:val="none" w:sz="0" w:space="0" w:color="auto"/>
            <w:right w:val="none" w:sz="0" w:space="0" w:color="auto"/>
          </w:divBdr>
        </w:div>
        <w:div w:id="547760931">
          <w:marLeft w:val="0"/>
          <w:marRight w:val="0"/>
          <w:marTop w:val="120"/>
          <w:marBottom w:val="60"/>
          <w:divBdr>
            <w:top w:val="none" w:sz="0" w:space="0" w:color="auto"/>
            <w:left w:val="none" w:sz="0" w:space="0" w:color="auto"/>
            <w:bottom w:val="none" w:sz="0" w:space="0" w:color="auto"/>
            <w:right w:val="none" w:sz="0" w:space="0" w:color="auto"/>
          </w:divBdr>
        </w:div>
        <w:div w:id="1830554687">
          <w:marLeft w:val="0"/>
          <w:marRight w:val="0"/>
          <w:marTop w:val="120"/>
          <w:marBottom w:val="60"/>
          <w:divBdr>
            <w:top w:val="none" w:sz="0" w:space="0" w:color="auto"/>
            <w:left w:val="none" w:sz="0" w:space="0" w:color="auto"/>
            <w:bottom w:val="none" w:sz="0" w:space="0" w:color="auto"/>
            <w:right w:val="none" w:sz="0" w:space="0" w:color="auto"/>
          </w:divBdr>
        </w:div>
        <w:div w:id="1275400201">
          <w:marLeft w:val="0"/>
          <w:marRight w:val="0"/>
          <w:marTop w:val="120"/>
          <w:marBottom w:val="60"/>
          <w:divBdr>
            <w:top w:val="none" w:sz="0" w:space="0" w:color="auto"/>
            <w:left w:val="none" w:sz="0" w:space="0" w:color="auto"/>
            <w:bottom w:val="none" w:sz="0" w:space="0" w:color="auto"/>
            <w:right w:val="none" w:sz="0" w:space="0" w:color="auto"/>
          </w:divBdr>
        </w:div>
        <w:div w:id="933243863">
          <w:marLeft w:val="0"/>
          <w:marRight w:val="0"/>
          <w:marTop w:val="120"/>
          <w:marBottom w:val="60"/>
          <w:divBdr>
            <w:top w:val="none" w:sz="0" w:space="0" w:color="auto"/>
            <w:left w:val="none" w:sz="0" w:space="0" w:color="auto"/>
            <w:bottom w:val="none" w:sz="0" w:space="0" w:color="auto"/>
            <w:right w:val="none" w:sz="0" w:space="0" w:color="auto"/>
          </w:divBdr>
        </w:div>
        <w:div w:id="1981424635">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uz/docs/-2931253" TargetMode="External"/><Relationship Id="rId3" Type="http://schemas.openxmlformats.org/officeDocument/2006/relationships/webSettings" Target="webSettings.xml"/><Relationship Id="rId7" Type="http://schemas.openxmlformats.org/officeDocument/2006/relationships/hyperlink" Target="javascript:scroll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uz/docs/-822638" TargetMode="External"/><Relationship Id="rId11" Type="http://schemas.openxmlformats.org/officeDocument/2006/relationships/theme" Target="theme/theme1.xml"/><Relationship Id="rId5" Type="http://schemas.openxmlformats.org/officeDocument/2006/relationships/hyperlink" Target="http://lex.uz/uz/docs/-7044898?ONDATE=03.08.2024%2000" TargetMode="External"/><Relationship Id="rId10" Type="http://schemas.openxmlformats.org/officeDocument/2006/relationships/fontTable" Target="fontTable.xml"/><Relationship Id="rId4" Type="http://schemas.openxmlformats.org/officeDocument/2006/relationships/hyperlink" Target="http://lex.uz/uz/docs/-2931253" TargetMode="External"/><Relationship Id="rId9" Type="http://schemas.openxmlformats.org/officeDocument/2006/relationships/hyperlink" Target="javascript:scrollText(-70452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3539 31.07.2024</dc:title>
  <dc:subject/>
  <dc:creator>HP</dc:creator>
  <cp:keywords/>
  <dc:description/>
  <cp:lastModifiedBy>HP</cp:lastModifiedBy>
  <cp:revision>2</cp:revision>
  <dcterms:created xsi:type="dcterms:W3CDTF">2025-10-14T06:43:00Z</dcterms:created>
  <dcterms:modified xsi:type="dcterms:W3CDTF">2025-10-14T06:43:00Z</dcterms:modified>
</cp:coreProperties>
</file>