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C5A4" w14:textId="77777777" w:rsidR="00AF5C52" w:rsidRPr="00AF5C52" w:rsidRDefault="00AF5C52" w:rsidP="00AF5C5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22-sonli BHMS "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ifodalangan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majburiyatlarning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hisobi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" (AV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tomonidan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19.12.2024 y. 3587-son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bilan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roʻyхatga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iqtisodiyot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moliya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vazirining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06.12.2024 y. 201-son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>buyrugʻiga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kern w:val="36"/>
          <w:sz w:val="48"/>
          <w:szCs w:val="48"/>
          <w:lang w:eastAsia="ru-RU"/>
        </w:rPr>
        <w:t xml:space="preserve"> 1-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</w:p>
    <w:p w14:paraId="52F61BB7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Respublikasi</w:t>
      </w:r>
      <w:proofErr w:type="spellEnd"/>
    </w:p>
    <w:p w14:paraId="46920DFA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Adliya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vazirligida</w:t>
      </w:r>
      <w:proofErr w:type="spellEnd"/>
    </w:p>
    <w:p w14:paraId="6C2F0922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2024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yil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19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dekabrda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3587-son</w:t>
      </w:r>
    </w:p>
    <w:p w14:paraId="637E4AF8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bilan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roʻy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atga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olingan</w:t>
      </w:r>
      <w:proofErr w:type="spellEnd"/>
    </w:p>
    <w:p w14:paraId="7F0F0267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Respublikasi</w:t>
      </w:r>
      <w:proofErr w:type="spellEnd"/>
    </w:p>
    <w:p w14:paraId="7DDC2259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iqtisodiyot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moliya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vazirining</w:t>
      </w:r>
      <w:proofErr w:type="spellEnd"/>
    </w:p>
    <w:p w14:paraId="011EB722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2024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yil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 6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dekabrdagi</w:t>
      </w:r>
      <w:proofErr w:type="spellEnd"/>
    </w:p>
    <w:p w14:paraId="12643E24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201-son </w:t>
      </w:r>
      <w:proofErr w:type="spellStart"/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HYPERLINK "https://buxgalter.uz/uz/doc?id=767444_iqtisodiet_va_moliya_vazirining_06_12_2024_y_201-s</w:instrText>
      </w:r>
      <w:r w:rsidR="0085258A" w:rsidRPr="0085258A">
        <w:rPr>
          <w:lang w:val="en-US"/>
        </w:rPr>
        <w:instrText>on_o%E2%80%98zbekiston_respublikasi_buhgalteriya_hisobining_milliy_standarti_(22-sonli_bhms)_chet_el_valyutasida_ifodalangan_aktivlar_va_majburiyatlarning_hisobini_tasdiqlash_haqidagi_buyrug%E2%80%98i_(av_tomonidan_19_12_2024_y_3587-son_bilan_ro%E2%80%98yh</w:instrText>
      </w:r>
      <w:r w:rsidR="0085258A" w:rsidRPr="0085258A">
        <w:rPr>
          <w:lang w:val="en-US"/>
        </w:rPr>
        <w:instrText xml:space="preserve">atga_olingan)&amp;prodid=1_vse_zakonodatelstvo_uzbekistana" \t "_blank"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t>buyru</w:t>
      </w:r>
      <w:r w:rsidR="0085258A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fldChar w:fldCharType="end"/>
      </w:r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HYPERLINK "https://buxgalter.uz/uz/doc?id=767444_iqtisodiet_va_moliya_vazirining_06_12_2024_y_201-son_o%E2%80%98zbekiston_respublikasi_buhgalteriya_hisobining_milliy_standarti_(22</w:instrText>
      </w:r>
      <w:r w:rsidR="0085258A" w:rsidRPr="0085258A">
        <w:rPr>
          <w:lang w:val="en-US"/>
        </w:rPr>
        <w:instrText xml:space="preserve">-sonli_bhms)_chet_el_valyutasida_ifodalangan_aktivlar_va_majburiyatlarning_hisobini_tasdiqlash_haqidagi_buyrug%E2%80%98i_(av_tomonidan_19_12_2024_y_3587-son_bilan_ro%E2%80%98yhatga_olingan)&amp;prodid=1_vse_zakonodatelstvo_uzbekistana" \t "_blank"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t>gʻ</w:t>
      </w:r>
      <w:r w:rsidR="0085258A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fldChar w:fldCharType="end"/>
      </w:r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</w:instrText>
      </w:r>
      <w:r w:rsidR="0085258A" w:rsidRPr="0085258A">
        <w:rPr>
          <w:lang w:val="en-US"/>
        </w:rPr>
        <w:instrText>INK "https://buxgalter.uz/uz/doc?id=767444_iqtisodiet_va_moliya_vazirining_06_12_2024_y_201-son_o%E2%80%98zbekiston_respublikasi_buhgalteriya_hisobining_milliy_standarti_(22-sonli_bhms)_chet_el_valyutasida_ifodalangan_aktivlar_va_majburiyatlarning_hisobini</w:instrText>
      </w:r>
      <w:r w:rsidR="0085258A" w:rsidRPr="0085258A">
        <w:rPr>
          <w:lang w:val="en-US"/>
        </w:rPr>
        <w:instrText xml:space="preserve">_tasdiqlash_haqidagi_buyrug%E2%80%98i_(av_tomonidan_19_12_2024_y_3587-son_bilan_ro%E2%80%98yhatga_olingan)&amp;prodid=1_vse_zakonodatelstvo_uzbekistana" \t "_blank"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t>iga</w:t>
      </w:r>
      <w:proofErr w:type="spellEnd"/>
      <w:r w:rsidR="0085258A">
        <w:rPr>
          <w:rFonts w:ascii="Roboto-Regular" w:eastAsia="Times New Roman" w:hAnsi="Roboto-Regular" w:cs="Times New Roman"/>
          <w:b/>
          <w:bCs/>
          <w:color w:val="337AB7"/>
          <w:sz w:val="20"/>
          <w:szCs w:val="20"/>
          <w:lang w:val="en-US" w:eastAsia="ru-RU"/>
        </w:rPr>
        <w:fldChar w:fldCharType="end"/>
      </w:r>
    </w:p>
    <w:p w14:paraId="2AB093B1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1-ILOVA</w:t>
      </w:r>
    </w:p>
    <w:p w14:paraId="531EBD83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D59225E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RESPUBLIKASI</w:t>
      </w:r>
    </w:p>
    <w:p w14:paraId="3F885527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BUXGALTERIYa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 HISOBINING</w:t>
      </w:r>
    </w:p>
    <w:p w14:paraId="6C378D4F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MILLIY STANDARTI</w:t>
      </w:r>
    </w:p>
    <w:p w14:paraId="2A350F3B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09603E7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(22-SONLI BHMS)</w:t>
      </w:r>
    </w:p>
    <w:p w14:paraId="26209AF9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BE60511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"Chet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ifodalangan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aktivlar</w:t>
      </w:r>
      <w:proofErr w:type="spellEnd"/>
    </w:p>
    <w:p w14:paraId="525D495F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majburiyatlarning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hisobi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"</w:t>
      </w:r>
    </w:p>
    <w:p w14:paraId="5FD4A670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C020A39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0" w:name="гл1"/>
      <w:bookmarkEnd w:id="0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1-BOB. UMUMIY QOIDALAR</w:t>
      </w:r>
    </w:p>
    <w:p w14:paraId="754F305A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9FEF27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milliy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standarti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buyon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matnda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BHMS deb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"Bu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toʻgʻrisida"gi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HYPERLINK "https://buxgalter.uz/uz/doc?id=460806_o%E2%80%98zbekiston_respublikasining_30_08_1996_y_279-i-son_buhgalteriya_hisobi_to%E2%80%98g%E2%80%98risidagi_qonuni_(yangi_tahriri)_(o%E2%80%98zr_13_04_2016_y_o%E2%80%98rq</w:instrText>
      </w:r>
      <w:r w:rsidR="0085258A" w:rsidRPr="0085258A">
        <w:rPr>
          <w:lang w:val="en-US"/>
        </w:rPr>
        <w:instrText xml:space="preserve">-404-son_qonuni_bilan_tasdiqlangan)&amp;prodid=1_vse_zakonodatelstvo_uzbekistana" \t "_blank"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t>Q</w:t>
      </w:r>
      <w:r w:rsidR="0085258A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fldChar w:fldCharType="end"/>
      </w:r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HYPERLINK "https://buxgalter.uz/uz/doc?id=460806_o%E2%80%98zbekiston_respublikasining_30_08_1996_y_279-i-son_buhgalteriya_hisobi_to%E2%80%98g%E2%80%98risidagi_qo</w:instrText>
      </w:r>
      <w:r w:rsidR="0085258A" w:rsidRPr="0085258A">
        <w:rPr>
          <w:lang w:val="en-US"/>
        </w:rPr>
        <w:instrText xml:space="preserve">nuni_(yangi_tahriri)_(o%E2%80%98zr_13_04_2016_y_o%E2%80%98rq-404-son_qonuni_bilan_tasdiqlangan)&amp;prodid=1_vse_zakonodatelstvo_uzbekistana" \t "_blank"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t>onuni</w:t>
      </w:r>
      <w:proofErr w:type="spellEnd"/>
      <w:r w:rsidR="0085258A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fldChar w:fldCharType="end"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ishlab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normativ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tartibga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elementi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44A7BBBB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1D9D75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BHMS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byudjet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banklar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nobank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kredit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tashkilotlaridan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tashqari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mulkchilik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shaklidan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qat’iy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nazar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yuritayotgan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yuridik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sha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buyon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matnda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deb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boʻlinmalarning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ma’lumotlarini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ettirish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yoritib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tartibini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belgilaydi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4D2604D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6953BDF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3.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BHMSda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tushunchalar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qoʻllaniladi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6626AC9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4B7B069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" w:name="п3абз2"/>
      <w:bookmarkEnd w:id="1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boʻlinma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 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tashqarida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-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oʻjalik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shu’ba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qaram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oʻjalik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jamiyatlari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5F795A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634AB31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" w:name="п3абз3"/>
      <w:bookmarkEnd w:id="2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operatsiyani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oshirish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sanasi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-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qonunchilik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hujjatlari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shartnomaga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natijasini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qabul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6D983EE1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04B133E7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3" w:name="п3абз4"/>
      <w:bookmarkEnd w:id="3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valyutasi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 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muomaladagi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davlat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davlatlar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guruhlari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)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hududida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naqd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toʻlovning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qonuniy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vositasi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shuningdek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muomaladan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chiqarilayotgan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muomaladan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chiqarilgan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ammo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almashtirilishi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lozim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davlatlarning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davlatlar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guruhlarining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birliklarida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alqaro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birliklarida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hisob-kitob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birliklarida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hisobvaraqlarida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omonatlarida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turgan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mablagʻlar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1D20E9A1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12AF8E9F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4" w:name="п3абз5"/>
      <w:bookmarkEnd w:id="4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moddalar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 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qat’iy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aniqlasa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73FF2806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1EAF6C36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5" w:name="п3абз6"/>
      <w:bookmarkEnd w:id="5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moddalar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 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AD71B2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93A52BB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6" w:name="п3абз7"/>
      <w:bookmarkEnd w:id="6"/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farqi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 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birliklarini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yuzaga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0D84B16B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6971569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4.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BHMS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buyon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matnda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deb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tuzilgan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koʻrsatkichlarini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qoʻllanilmaydi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D1D382E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5013126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5. Agar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qonunchilikda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tartib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nazarda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tutilmagan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boʻlsa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barcha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taqdim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etishi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lozim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9C762F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12D31C4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7" w:name="гл2"/>
      <w:bookmarkEnd w:id="7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2-BOB.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EL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OPERATsIYaLARNI</w:t>
      </w:r>
      <w:proofErr w:type="spellEnd"/>
    </w:p>
    <w:p w14:paraId="4DDB0C56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BUXGALTERIYa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 HISOBIDA AKS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ETTIRISh</w:t>
      </w:r>
      <w:proofErr w:type="spellEnd"/>
    </w:p>
    <w:p w14:paraId="67751ACD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12922954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8" w:name="п6"/>
      <w:bookmarkEnd w:id="8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6. 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0C4842DA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izmatlarni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arid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realizatsiya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B3955A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mablagʻlarini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71989554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arid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realizatsiya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qabul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soʻndirish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05A59C4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D69CEED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9" w:name="п7"/>
      <w:bookmarkEnd w:id="9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7. Chet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tan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nisbatan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bankining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buyon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matnda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deb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tan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1F34203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maqsadi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ayrim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BHMCning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="0085258A">
        <w:fldChar w:fldCharType="begin"/>
      </w:r>
      <w:proofErr w:type="spellEnd"/>
      <w:r w:rsidR="0085258A" w:rsidRPr="0085258A">
        <w:rPr>
          <w:lang w:val="en-US"/>
        </w:rPr>
        <w:instrText xml:space="preserve"> HYPERLINK "https://buxgalter.uz/uz/doc?id=767502_22-sonli_bhms_chet_el_valyutasida_ifodalangan_aktivlar_va_majburiyatlarning_hisobi_(av_tomonidan_19_12_2024_y_3587-son_bilan_ro%E2%80%98yhatga_olingan_iqtisodiet_va_moliya</w:instrText>
      </w:r>
      <w:r w:rsidR="0085258A" w:rsidRPr="0085258A">
        <w:rPr>
          <w:lang w:val="en-US"/>
        </w:rPr>
        <w:instrText xml:space="preserve">_vazirining_06_12_2024_y_201-son_buyrug%E2%80%98iga_1-ilova)&amp;prodid=1_vse_zakonodatelstvo_uzbekistana" \l "%D0%BF%D1%80%D0%B8%D0%BB" </w:instrText>
      </w:r>
      <w:proofErr w:type="spellStart"/>
      <w:r w:rsidR="0085258A">
        <w:fldChar w:fldCharType="separate"/>
      </w:r>
      <w:r w:rsidRPr="00AF5C52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t>ilovasida</w:t>
      </w:r>
      <w:proofErr w:type="spellEnd"/>
      <w:r w:rsidR="0085258A">
        <w:rPr>
          <w:rFonts w:ascii="Roboto-Regular" w:eastAsia="Times New Roman" w:hAnsi="Roboto-Regular" w:cs="Times New Roman"/>
          <w:color w:val="337AB7"/>
          <w:sz w:val="21"/>
          <w:szCs w:val="21"/>
          <w:lang w:val="en-US" w:eastAsia="ru-RU"/>
        </w:rPr>
        <w:fldChar w:fldCharType="end"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keltirilgan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sanalarga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2DC551E0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05E2BB12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0" w:name="п8"/>
      <w:bookmarkEnd w:id="10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8.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oyda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oyining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o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bankning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baholashni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662F59F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19B0397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1" w:name="п9"/>
      <w:bookmarkEnd w:id="11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9.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mablagʻlarning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qat’iy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aniqlanadigan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huquqi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mavjud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72E58DC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kiradi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6B7DB20F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kassadagi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hisobvaraqlaridagi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mablagʻlari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5024D977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debitorlik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kreditorlik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majburiyatsiz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huquqisiz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mustasno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);</w:t>
      </w:r>
    </w:p>
    <w:p w14:paraId="30B7995A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kredit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0E82D37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odimlar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bilan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hisob-kitoblar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BF801F4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ekvivalentlari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046FD98B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dividendlar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1F94C30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63ECAB19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2" w:name="п10"/>
      <w:bookmarkEnd w:id="12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10.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mablagʻlarning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qat’iy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belgilangan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aniqlanadigan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huquqi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mavjud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boʻlmaydi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096CB9DF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qabul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qilingandan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bilan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hisoblanmaydi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2B23670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0834F255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arid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vositalar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gudvil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oʻrnatiladigan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asbob-uskunalar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qoʻyilmalar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tovar-moddiy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za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7241587B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orijiy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investitsiyalar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ishtirokidagi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ustav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mulkdorlari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ta’sischilari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ishtirokchilari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ulushlarining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nisbati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FEC49F7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ustav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aksiyalarga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investitsiyalar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36DE5622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izmatlar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majburiyatisiz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oldindan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huquqisiz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0A9B222F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C7B11A7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3" w:name="п11"/>
      <w:bookmarkEnd w:id="13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11. Chet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qiymatini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yuzaga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bevosita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natijalarida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daromadlar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arajatlar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tarkibida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186136C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647FDECA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4" w:name="п12"/>
      <w:bookmarkEnd w:id="14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12.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izmatlar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qisman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oldindan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arid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qilinganda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qiymatining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teng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tan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1892CB72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ishlar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izmatlar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qisman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oldindan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realizatsiya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qilinganda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daromadning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teng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boʻnak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tan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29382A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0007D08F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5" w:name="п13"/>
      <w:bookmarkEnd w:id="15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13. Bu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komitentga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kreditorlik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vositachilik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shartnomasiga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sotish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vujudga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keyingi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mazkur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BHMSga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46D89E8B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F4714D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6" w:name="п14"/>
      <w:bookmarkEnd w:id="16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14.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jamgʻarish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orqali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ettirishga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yoʻl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qoʻyilmaydi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64F825A5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Jamgʻarish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orqali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avval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yigʻilgan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natijalarga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toʻgʻridan-toʻgʻri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tartibda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borilishi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mumkin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1EC9102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debitorlik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kreditorlik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qarzlar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toʻlanishiga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yoki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chiqarilishiga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227E2AAC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hollarda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-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balansning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tegishli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bilan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oʻjalik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sodir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etilishiga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D37D549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Jamgʻarish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orqali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avval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yigʻilgan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natijalarga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birligiga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toʻgʻri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oʻrtacha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borilishi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mumkin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41FE3254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4FDD8E11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7" w:name="п15"/>
      <w:bookmarkEnd w:id="17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15. Chet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ud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tasniflashda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joriy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kelgusi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perspektiv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tarzda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019FFBF2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191174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8" w:name="п16"/>
      <w:bookmarkEnd w:id="18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16. Bu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ta’sischilarning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ustav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ulushini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kiritishi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ulushni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kiritish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6635F61F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F300304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19" w:name="гл3"/>
      <w:bookmarkEnd w:id="19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3-BOB.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ELDA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YuRITISh</w:t>
      </w:r>
      <w:proofErr w:type="spellEnd"/>
    </w:p>
    <w:p w14:paraId="2FF07EAE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FOYDALANILADIGAN AKTIVLAR</w:t>
      </w:r>
    </w:p>
    <w:p w14:paraId="3838A4F7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VA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MAJBURIYaTLAR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 HISOBI</w:t>
      </w:r>
    </w:p>
    <w:p w14:paraId="701D63B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286F7A3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17.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tuzishda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beruvchi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qiymati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hisoblanishi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lozim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7ED6FCCE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18AD6DD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0" w:name="п18"/>
      <w:bookmarkEnd w:id="20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18. Chet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monetar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oyining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o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operatsiya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sodir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05A8B85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CA747AE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19.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vositalari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oʻrnatiladigan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asbob-uskunalari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qoʻyilmalari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tovar-moddiy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za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iralarining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qiymatini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qabul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7875BA4B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778D883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20.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asosiy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vositalari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nomoddiy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oʻrnatiladigan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asbob-uskunalari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qoʻyilmalari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tovar-moddiy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za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iralarining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qonunchilik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hujjatlariga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muvofiq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baholangan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qiymatini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baholash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oʻtkazilgan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21710CD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9EC61F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21. Chet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yuritishning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shakllantiradigan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ifodalangan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daromadlar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arajatlarni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soʻmda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kunlari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hosilalari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kunlar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oʻrtacha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oshiriladi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5C760961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3752BC3C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1" w:name="гл4"/>
      <w:bookmarkEnd w:id="21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4-BOB.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ELDAGI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BOʻLINMANI</w:t>
      </w:r>
      <w:proofErr w:type="spellEnd"/>
    </w:p>
    <w:p w14:paraId="7C0C1625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KONSOLIDATsIYaLAShGAN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MOLIYaVIY</w:t>
      </w:r>
      <w:proofErr w:type="spellEnd"/>
    </w:p>
    <w:p w14:paraId="76BA8D2A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HISOBOTGA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KIRITISh</w:t>
      </w:r>
      <w:proofErr w:type="spellEnd"/>
    </w:p>
    <w:p w14:paraId="6DC66AAF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6FF7A119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22.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boʻlinmasining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tomonidan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tuziladigan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konsolidatsiyalashgan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kiritish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uchun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bajarishi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kerak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09EC4115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boʻlinmaning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aktivlari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majburiyatlarini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o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78985FD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boʻlinmaning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ususiy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o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irgi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boʻyicha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bundan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joriy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yilning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taqsimlanmagan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qoplanmagan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zarari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)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mustasno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01E62011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chet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eldagi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boʻlinmaning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daromadlari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arajatlari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moddalari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shuningdek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taqsimlanmagan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foydasini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(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qoplanmagan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zarari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)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bankning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amal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kunlari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hosilalari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davridagi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kunlar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natijasida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chiqarilgan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kurslarning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oʻrtacha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miqdoridan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holda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7468E7E4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7950D1D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2" w:name="п23"/>
      <w:bookmarkEnd w:id="22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23.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Oʻzbekiston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Respublikasidan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tashqarida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faoliyatning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tasnifi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hollarda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tasnifga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nisbatan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qoʻllanadigan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qayta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hisoblash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tartibi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ushbu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oʻzgarish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boshlab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foydalanilishi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lozim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2C25090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23D8E069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3" w:name="гл5"/>
      <w:bookmarkEnd w:id="23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5-BOB. MA’LUMOTLARNI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YoRITIB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val="en-US" w:eastAsia="ru-RU"/>
        </w:rPr>
        <w:t>BERISh</w:t>
      </w:r>
      <w:proofErr w:type="spellEnd"/>
    </w:p>
    <w:p w14:paraId="5225E7D2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133B4EAA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24.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izohlarda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quyidagilar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yoritib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berilishi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lozim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:</w:t>
      </w:r>
    </w:p>
    <w:p w14:paraId="65458E65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tashkilotning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natijalariga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3874B333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qoʻshilgan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kapital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sifatida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tasniflanadigan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700B84B0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bu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х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galteriya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boshqa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hisobvaraqlariga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olib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borilgan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farqlari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summasi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04EE59FD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keyin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yuz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bergan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valyuta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kurslari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oʻzgarishlarining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oqibati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, agar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yuqori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ahamiyatga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ega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boʻlsa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va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ularni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yoritib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bermaslik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moliyaviy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foydalanuvchilar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tomonidan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toʻgʻri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baholashga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hamda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qarorlar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qabul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qilishga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salbiy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ta’sir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koʻrsatsa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;</w:t>
      </w:r>
    </w:p>
    <w:p w14:paraId="46FEF0BD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hisobot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sanasidagi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Markaziy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 xml:space="preserve"> bank </w:t>
      </w:r>
      <w:proofErr w:type="spellStart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kursi</w:t>
      </w:r>
      <w:proofErr w:type="spellEnd"/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.</w:t>
      </w:r>
    </w:p>
    <w:p w14:paraId="3D66547B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       </w:t>
      </w:r>
    </w:p>
    <w:p w14:paraId="19C3DA03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        </w:t>
      </w:r>
    </w:p>
    <w:p w14:paraId="098F6B14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5E0B8467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bookmarkStart w:id="24" w:name="прил"/>
      <w:bookmarkEnd w:id="24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 xml:space="preserve">(22-sonli </w:t>
      </w:r>
      <w:proofErr w:type="gramStart"/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BHMS)ga</w:t>
      </w:r>
      <w:proofErr w:type="gramEnd"/>
    </w:p>
    <w:p w14:paraId="7AE34EB6" w14:textId="77777777" w:rsidR="00AF5C52" w:rsidRPr="00AF5C52" w:rsidRDefault="00AF5C52" w:rsidP="00AF5C52">
      <w:pPr>
        <w:shd w:val="clear" w:color="auto" w:fill="FFFFFF"/>
        <w:spacing w:after="0" w:line="240" w:lineRule="auto"/>
        <w:jc w:val="right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0"/>
          <w:szCs w:val="20"/>
          <w:lang w:val="en-US" w:eastAsia="ru-RU"/>
        </w:rPr>
        <w:t>ILOVA</w:t>
      </w:r>
    </w:p>
    <w:p w14:paraId="7D4FA083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br/>
      </w:r>
    </w:p>
    <w:p w14:paraId="72CDC04A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Chet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el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valyutasidagi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ayrim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val="en-US" w:eastAsia="ru-RU"/>
        </w:rPr>
        <w:t>operatsiyalarni</w:t>
      </w:r>
      <w:proofErr w:type="spellEnd"/>
    </w:p>
    <w:p w14:paraId="5A56DD14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>soʻmga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>oʻtkazish</w:t>
      </w:r>
      <w:proofErr w:type="spellEnd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>sanalari</w:t>
      </w:r>
      <w:proofErr w:type="spellEnd"/>
    </w:p>
    <w:p w14:paraId="516C2E64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b/>
          <w:bCs/>
          <w:color w:val="333333"/>
          <w:sz w:val="28"/>
          <w:szCs w:val="28"/>
          <w:lang w:eastAsia="ru-RU"/>
        </w:rPr>
        <w:t>ROʻYXATI</w:t>
      </w:r>
      <w:proofErr w:type="spellEnd"/>
    </w:p>
    <w:p w14:paraId="3E3CA245" w14:textId="77777777" w:rsidR="00AF5C52" w:rsidRPr="00AF5C52" w:rsidRDefault="00AF5C52" w:rsidP="00AF5C52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           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AF5C52" w:rsidRPr="00AF5C52" w14:paraId="106A6637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372A1925" w14:textId="77777777" w:rsidR="00AF5C52" w:rsidRPr="00AF5C52" w:rsidRDefault="00AF5C52" w:rsidP="00AF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operatsiyalar</w:t>
            </w:r>
            <w:proofErr w:type="spellEnd"/>
          </w:p>
          <w:p w14:paraId="65135F61" w14:textId="77777777" w:rsidR="00AF5C52" w:rsidRPr="00AF5C52" w:rsidRDefault="00AF5C52" w:rsidP="00AF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333EFC42" w14:textId="77777777" w:rsidR="00AF5C52" w:rsidRPr="00AF5C52" w:rsidRDefault="00AF5C52" w:rsidP="00AF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operatsiyalar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sanasi</w:t>
            </w:r>
            <w:proofErr w:type="spellEnd"/>
          </w:p>
          <w:p w14:paraId="126038A9" w14:textId="77777777" w:rsidR="00AF5C52" w:rsidRPr="00AF5C52" w:rsidRDefault="00AF5C52" w:rsidP="00AF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F5C5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</w:t>
            </w:r>
          </w:p>
        </w:tc>
      </w:tr>
      <w:tr w:rsidR="00AF5C52" w:rsidRPr="0085258A" w14:paraId="7F392A48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5CE01602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bank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hisobvaraqlari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boʻyicha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operatsiyalar</w:t>
            </w:r>
            <w:proofErr w:type="spellEnd"/>
          </w:p>
          <w:p w14:paraId="1BB93640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2B6301D4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mablagʻlarining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bankdagi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hisobvaraqlarga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kelib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tushish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bankdagi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hisobvaraqlardan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hisobdan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1049EDEC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85258A" w14:paraId="52AE441B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4F180B29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kassa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operatsiyalari</w:t>
            </w:r>
            <w:proofErr w:type="spellEnd"/>
          </w:p>
          <w:p w14:paraId="6870F93C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51166EBA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kassaga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kirim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kassadan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berish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64A2C00B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85258A" w14:paraId="3B399429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02779F0C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daromadlar</w:t>
            </w:r>
            <w:proofErr w:type="spellEnd"/>
          </w:p>
          <w:p w14:paraId="421D3DAA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76D38656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daromadlarni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tan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2BD59172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85258A" w14:paraId="2A7B1F5D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2AF5C941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хarajatlar</w:t>
            </w:r>
            <w:proofErr w:type="spellEnd"/>
          </w:p>
          <w:p w14:paraId="32368CB8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71C13AF8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arajatlarni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tan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1D002AEA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85258A" w14:paraId="52EACABD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506EE9C8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Tovar-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moddiy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za</w:t>
            </w: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iralar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aktivlarni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baholash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bundan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qaytarish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majburiyatisiz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olingan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qaytarish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huquqisiz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berilgan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boʻnaklar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mustasno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)</w:t>
            </w:r>
          </w:p>
          <w:p w14:paraId="4A0B83EF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36D13F57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Tovar-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moddiy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za</w:t>
            </w: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iralar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aktivlarning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arid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qilinganini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tasdiqlovchi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boshlangʻich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hujjatlari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tovarning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kuzatuv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hujjatlari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boj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ona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yuk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deklaratsiyasi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boʻlganda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bu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galteriya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hisobiga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qabul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1477CC71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AF5C52" w14:paraId="647815BC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14709DA3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Xodimlarning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hisobdor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summalari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boʻyicha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qarzlarini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aks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ettirish</w:t>
            </w:r>
            <w:proofErr w:type="spellEnd"/>
          </w:p>
          <w:p w14:paraId="3F5C3C0C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50787D49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Boʻnak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hisobotini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tasdiqlash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sanasi</w:t>
            </w:r>
            <w:proofErr w:type="spellEnd"/>
          </w:p>
          <w:p w14:paraId="396B4D0F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F5C52" w:rsidRPr="0085258A" w14:paraId="36E5AB1A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6DE6AC9A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Chet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qarzlarning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toʻlanishi</w:t>
            </w:r>
            <w:proofErr w:type="spellEnd"/>
          </w:p>
          <w:p w14:paraId="457891F2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3D83D073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Chet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el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valyutasidagi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qarzlarni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toʻlash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04E095F6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F5C52" w:rsidRPr="00AF5C52" w14:paraId="2378B465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23E1C8C8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Ustav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kapitaliga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ta’sischilarning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ulushlar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boʻyicha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qarzdorligining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yuzaga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kelishi</w:t>
            </w:r>
            <w:proofErr w:type="spellEnd"/>
          </w:p>
          <w:p w14:paraId="27E06D4F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67CE4291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Yuridik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shaхs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maqomini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olish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sanasi</w:t>
            </w:r>
            <w:proofErr w:type="spellEnd"/>
          </w:p>
          <w:p w14:paraId="6EDCB0D4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F5C52" w:rsidRPr="0085258A" w14:paraId="20DBF9E1" w14:textId="77777777" w:rsidTr="00AF5C52">
        <w:trPr>
          <w:jc w:val="center"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68AD5870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Ustav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kapitalining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shakllanishi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koʻpayishi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14:paraId="5D26A10B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14:paraId="2DFD1377" w14:textId="77777777" w:rsidR="00AF5C52" w:rsidRPr="00AF5C52" w:rsidRDefault="00AF5C52" w:rsidP="00AF5C5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Ustav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kapitaliga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ta’sischilar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ulushlar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kiritilishi</w:t>
            </w:r>
            <w:proofErr w:type="spellEnd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sanasi</w:t>
            </w:r>
            <w:proofErr w:type="spellEnd"/>
          </w:p>
          <w:p w14:paraId="60E0885B" w14:textId="77777777" w:rsidR="00AF5C52" w:rsidRPr="00AF5C52" w:rsidRDefault="00AF5C52" w:rsidP="00AF5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</w:tbl>
    <w:p w14:paraId="320DF904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       </w:t>
      </w:r>
    </w:p>
    <w:p w14:paraId="5D16E4D8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  <w:t>           </w:t>
      </w:r>
    </w:p>
    <w:p w14:paraId="52561CDE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val="en-US" w:eastAsia="ru-RU"/>
        </w:rPr>
      </w:pP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Qonun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 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hujjatlari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ma’lumotlari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milliy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 xml:space="preserve"> 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>bazasi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val="en-US" w:eastAsia="ru-RU"/>
        </w:rPr>
        <w:t xml:space="preserve"> (www.lex.uz),</w:t>
      </w:r>
    </w:p>
    <w:p w14:paraId="4C9E47CA" w14:textId="77777777" w:rsidR="00AF5C52" w:rsidRPr="00AF5C52" w:rsidRDefault="00AF5C52" w:rsidP="00AF5C52">
      <w:pPr>
        <w:shd w:val="clear" w:color="auto" w:fill="FFFFFF"/>
        <w:spacing w:after="0" w:line="240" w:lineRule="auto"/>
        <w:ind w:firstLine="570"/>
        <w:jc w:val="both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eastAsia="ru-RU"/>
        </w:rPr>
        <w:t xml:space="preserve">2024 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eastAsia="ru-RU"/>
        </w:rPr>
        <w:t>yil</w:t>
      </w:r>
      <w:proofErr w:type="spellEnd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eastAsia="ru-RU"/>
        </w:rPr>
        <w:t> 20 </w:t>
      </w:r>
      <w:proofErr w:type="spellStart"/>
      <w:r w:rsidRPr="00AF5C52">
        <w:rPr>
          <w:rFonts w:ascii="Roboto-Regular" w:eastAsia="Times New Roman" w:hAnsi="Roboto-Regular" w:cs="Times New Roman"/>
          <w:color w:val="800080"/>
          <w:sz w:val="21"/>
          <w:szCs w:val="21"/>
          <w:lang w:eastAsia="ru-RU"/>
        </w:rPr>
        <w:t>dekabr</w:t>
      </w:r>
      <w:proofErr w:type="spellEnd"/>
    </w:p>
    <w:p w14:paraId="6F34F3BC" w14:textId="77777777" w:rsidR="00AF5C52" w:rsidRPr="00AF5C52" w:rsidRDefault="00AF5C52" w:rsidP="00AF5C52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  <w:r w:rsidRPr="00AF5C52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br/>
      </w:r>
    </w:p>
    <w:p w14:paraId="5D776DF4" w14:textId="77777777" w:rsidR="00EE3F34" w:rsidRDefault="0085258A"/>
    <w:sectPr w:rsidR="00EE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FC"/>
    <w:rsid w:val="002115FC"/>
    <w:rsid w:val="004A0E54"/>
    <w:rsid w:val="005F7574"/>
    <w:rsid w:val="0085258A"/>
    <w:rsid w:val="00AF5C52"/>
    <w:rsid w:val="00C53471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0056"/>
  <w15:docId w15:val="{6BF54C7A-1041-4144-8C55-2D5AD26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8565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11" w:color="FAEBCC"/>
          </w:divBdr>
        </w:div>
        <w:div w:id="6570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2287</Words>
  <Characters>13038</Characters>
  <Application>Microsoft Office Word</Application>
  <DocSecurity>0</DocSecurity>
  <Lines>108</Lines>
  <Paragraphs>30</Paragraphs>
  <ScaleCrop>false</ScaleCrop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HP</cp:lastModifiedBy>
  <cp:revision>2</cp:revision>
  <dcterms:created xsi:type="dcterms:W3CDTF">2025-10-14T07:12:00Z</dcterms:created>
  <dcterms:modified xsi:type="dcterms:W3CDTF">2025-10-14T07:12:00Z</dcterms:modified>
</cp:coreProperties>
</file>