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B48E" w14:textId="77777777" w:rsidR="00000000" w:rsidRDefault="008840AF">
      <w:pPr>
        <w:rPr>
          <w:rFonts w:eastAsia="Times New Roman"/>
        </w:rPr>
      </w:pPr>
      <w:r>
        <w:rPr>
          <w:rFonts w:ascii="Tahoma" w:eastAsia="Times New Roman" w:hAnsi="Tahoma" w:cs="Tahoma"/>
        </w:rPr>
        <w:t>﻿</w:t>
      </w:r>
    </w:p>
    <w:p w14:paraId="30FC8820" w14:textId="77777777" w:rsidR="00000000" w:rsidRDefault="008840AF">
      <w:pPr>
        <w:shd w:val="clear" w:color="auto" w:fill="FFFFFF"/>
        <w:jc w:val="center"/>
        <w:divId w:val="234753337"/>
        <w:rPr>
          <w:rFonts w:eastAsia="Times New Roman"/>
          <w:caps/>
          <w:color w:val="000080"/>
        </w:rPr>
      </w:pPr>
      <w:r>
        <w:rPr>
          <w:rFonts w:eastAsia="Times New Roman"/>
          <w:caps/>
          <w:color w:val="000080"/>
        </w:rPr>
        <w:t>Oʻzbekiston Respublikasining qonuni</w:t>
      </w:r>
    </w:p>
    <w:p w14:paraId="62FEF39D" w14:textId="77777777" w:rsidR="00000000" w:rsidRDefault="008840AF">
      <w:pPr>
        <w:shd w:val="clear" w:color="auto" w:fill="FFFFFF"/>
        <w:jc w:val="center"/>
        <w:divId w:val="78142892"/>
        <w:rPr>
          <w:rFonts w:eastAsia="Times New Roman"/>
          <w:b/>
          <w:bCs/>
          <w:caps/>
          <w:color w:val="000080"/>
        </w:rPr>
      </w:pPr>
      <w:r>
        <w:rPr>
          <w:rFonts w:eastAsia="Times New Roman"/>
          <w:b/>
          <w:bCs/>
          <w:caps/>
          <w:color w:val="000080"/>
        </w:rPr>
        <w:t>Buxgalteriya hisobi toʻgʻrisida</w:t>
      </w:r>
    </w:p>
    <w:p w14:paraId="69D4AC84" w14:textId="77777777" w:rsidR="00000000" w:rsidRDefault="008840AF">
      <w:pPr>
        <w:shd w:val="clear" w:color="auto" w:fill="FFFFFF"/>
        <w:ind w:firstLine="851"/>
        <w:jc w:val="both"/>
        <w:divId w:val="828524157"/>
        <w:rPr>
          <w:rFonts w:eastAsia="Times New Roman"/>
          <w:b/>
          <w:bCs/>
          <w:color w:val="000080"/>
        </w:rPr>
      </w:pPr>
      <w:r>
        <w:rPr>
          <w:rFonts w:eastAsia="Times New Roman"/>
          <w:b/>
          <w:bCs/>
          <w:color w:val="000080"/>
        </w:rPr>
        <w:t>1-modda. Buxgalteriya hisobi toʻgʻrisidagi qonun hujjatlari</w:t>
      </w:r>
    </w:p>
    <w:p w14:paraId="1EEB460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 xml:space="preserve">Buxgalteriya hisobini tashkil etish hamda hisobot tuzish bilan bogʻliq munosabatlar ushbu Qonun va boshqa qonun hujjatlari bilan tartibga solinadi. </w:t>
      </w:r>
    </w:p>
    <w:p w14:paraId="42EA60F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Basharti, Oʻzbekiston Respublikasining xalqaro shartnomalarida ushbu Qonunda bayon etilganidan koʻra boshqa</w:t>
      </w:r>
      <w:r>
        <w:rPr>
          <w:rFonts w:eastAsia="Times New Roman"/>
          <w:color w:val="000000"/>
        </w:rPr>
        <w:t>cha qoidalar belgilangan boʻlsa, xalqaro shartnomalar qoidalari qoʻllanadi.</w:t>
      </w:r>
    </w:p>
    <w:p w14:paraId="3496EF8C" w14:textId="77777777" w:rsidR="00000000" w:rsidRDefault="008840AF">
      <w:pPr>
        <w:shd w:val="clear" w:color="auto" w:fill="FFFFFF"/>
        <w:ind w:firstLine="851"/>
        <w:jc w:val="both"/>
        <w:divId w:val="1284266693"/>
        <w:rPr>
          <w:rFonts w:eastAsia="Times New Roman"/>
          <w:b/>
          <w:bCs/>
          <w:color w:val="000080"/>
        </w:rPr>
      </w:pPr>
      <w:r>
        <w:rPr>
          <w:rFonts w:eastAsia="Times New Roman"/>
          <w:b/>
          <w:bCs/>
          <w:color w:val="000080"/>
        </w:rPr>
        <w:t>2-modda. Buxgalteriya hisobining maqsadi va vazifalari</w:t>
      </w:r>
    </w:p>
    <w:p w14:paraId="1D70A574"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hisobining maqsadi foydalanuvchilarni oʻz vaqtida toʻliq hamda aniq moliyaviy va boshqa buxgalteriya axboroti bi</w:t>
      </w:r>
      <w:r>
        <w:rPr>
          <w:rFonts w:eastAsia="Times New Roman"/>
          <w:color w:val="000000"/>
        </w:rPr>
        <w:t>lan taʼminlashdir.</w:t>
      </w:r>
    </w:p>
    <w:p w14:paraId="0588139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hisobining vazifalari:</w:t>
      </w:r>
    </w:p>
    <w:p w14:paraId="5063F6B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hisobvaraqlarida aktivlarning holati va harakati, mulkiy huquqlar va majburiyatlarning holati toʻgʻrisidagi toʻliq hamda aniq maʼlumotlarni shakllantirish;</w:t>
      </w:r>
    </w:p>
    <w:p w14:paraId="25FBF404"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samarali boshqarish maqsa</w:t>
      </w:r>
      <w:r>
        <w:rPr>
          <w:rFonts w:eastAsia="Times New Roman"/>
          <w:color w:val="000000"/>
        </w:rPr>
        <w:t>dida buxgalteriya hisobi maʼlumotlarini umumlashtirish;</w:t>
      </w:r>
    </w:p>
    <w:p w14:paraId="4DCCFFC4"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soliqqa doir va boshqa hisobotlarni tuzishdan iboratdir.</w:t>
      </w:r>
    </w:p>
    <w:p w14:paraId="4C7CD287" w14:textId="77777777" w:rsidR="00000000" w:rsidRDefault="008840AF">
      <w:pPr>
        <w:shd w:val="clear" w:color="auto" w:fill="FFFFFF"/>
        <w:ind w:firstLine="851"/>
        <w:jc w:val="both"/>
        <w:divId w:val="1443526474"/>
        <w:rPr>
          <w:rFonts w:eastAsia="Times New Roman"/>
          <w:b/>
          <w:bCs/>
          <w:color w:val="000080"/>
        </w:rPr>
      </w:pPr>
      <w:r>
        <w:rPr>
          <w:rFonts w:eastAsia="Times New Roman"/>
          <w:b/>
          <w:bCs/>
          <w:color w:val="000080"/>
        </w:rPr>
        <w:t>3-modda. Buxgalteriya hisobi subyektlari</w:t>
      </w:r>
    </w:p>
    <w:p w14:paraId="6BA5541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Davlat hokimiyati va boshqaruv organlari, Oʻzbekiston Respublikasida roʻyxatga olingan yuri</w:t>
      </w:r>
      <w:r>
        <w:rPr>
          <w:rFonts w:eastAsia="Times New Roman"/>
          <w:color w:val="000000"/>
        </w:rPr>
        <w:t>dik shaxslar, ularning Oʻzbekiston Respublikasi hududida hamda undan tashqarida joylashgan shuʼba korxonalari, filiallari, vakolatxonalari va boshqa tarkibiy boʻlinmalari buxgalteriya hisobi subyektlaridir.</w:t>
      </w:r>
    </w:p>
    <w:p w14:paraId="4097E866"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Yuridik shaxs tashkil etmasdan tadbirkorlik faoli</w:t>
      </w:r>
      <w:r>
        <w:rPr>
          <w:rFonts w:eastAsia="Times New Roman"/>
          <w:color w:val="000000"/>
        </w:rPr>
        <w:t>yati bilan shugʻullanuvchi shaxslar qonun hujjatlarida nazarda tutilgan tartibda buxgalteriya hisobni yuritadi va buxgalteriya (moliya) hisobotini taqdim etadi.</w:t>
      </w:r>
    </w:p>
    <w:p w14:paraId="1EBB5637" w14:textId="77777777" w:rsidR="00000000" w:rsidRDefault="008840AF">
      <w:pPr>
        <w:shd w:val="clear" w:color="auto" w:fill="FFFFFF"/>
        <w:ind w:firstLine="851"/>
        <w:jc w:val="both"/>
        <w:divId w:val="1917009258"/>
        <w:rPr>
          <w:rFonts w:eastAsia="Times New Roman"/>
          <w:b/>
          <w:bCs/>
          <w:color w:val="000080"/>
        </w:rPr>
      </w:pPr>
      <w:r>
        <w:rPr>
          <w:rFonts w:eastAsia="Times New Roman"/>
          <w:b/>
          <w:bCs/>
          <w:color w:val="000080"/>
        </w:rPr>
        <w:t>4-modda. Buxgalteriya hisobi obyektlari</w:t>
      </w:r>
    </w:p>
    <w:p w14:paraId="13E7488F"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Asosiy va joriy aktivlar, majburiyatlar, xususiy kapita</w:t>
      </w:r>
      <w:r>
        <w:rPr>
          <w:rFonts w:eastAsia="Times New Roman"/>
          <w:color w:val="000000"/>
        </w:rPr>
        <w:t>l, zaxiralar, daromadlar va xarajatlar, foyda, zararlar hamda ularning harakati bilan bogʻliq xoʻjalik operatsiyalari buxgalteriya hisobining obyektlaridir. Buxgalteriya hisobining obyektlari jamlama hisobvaraqlarda aks ettiriladi. Analitik hisobni yuritis</w:t>
      </w:r>
      <w:r>
        <w:rPr>
          <w:rFonts w:eastAsia="Times New Roman"/>
          <w:color w:val="000000"/>
        </w:rPr>
        <w:t>h tartibi buxgalteriya hisobi subyekti tomonidan mustaqil ravishda belgilanadi.</w:t>
      </w:r>
    </w:p>
    <w:p w14:paraId="2AD761DA" w14:textId="77777777" w:rsidR="00000000" w:rsidRDefault="008840AF">
      <w:pPr>
        <w:shd w:val="clear" w:color="auto" w:fill="FFFFFF"/>
        <w:ind w:firstLine="851"/>
        <w:jc w:val="both"/>
        <w:divId w:val="589119813"/>
        <w:rPr>
          <w:rFonts w:eastAsia="Times New Roman"/>
          <w:b/>
          <w:bCs/>
          <w:color w:val="000080"/>
        </w:rPr>
      </w:pPr>
      <w:r>
        <w:rPr>
          <w:rFonts w:eastAsia="Times New Roman"/>
          <w:b/>
          <w:bCs/>
          <w:color w:val="000080"/>
        </w:rPr>
        <w:t>5-modda. Buxgalteriya hisobi va hisobotini tartibga solish</w:t>
      </w:r>
    </w:p>
    <w:p w14:paraId="23D1C21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va hisobotini tartibga solish, buxgalteriya hisobi ctandartlarini ishlab chiqish va tasdiqlash Oʻ</w:t>
      </w:r>
      <w:r>
        <w:rPr>
          <w:rFonts w:eastAsia="Times New Roman"/>
          <w:color w:val="000000"/>
        </w:rPr>
        <w:t>zbekiston Respublikasi Moliya vazirligi zimmasiga yuklanadi.</w:t>
      </w:r>
    </w:p>
    <w:p w14:paraId="411084D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 yuritish qoidalari buxgalteriya hisobi standartlari bilan, shu jumladan kichik va xususiy tadbirkorlik subyektlari uchun soddalashtirilgan buxgalteriya hisobini yuritish sta</w:t>
      </w:r>
      <w:r>
        <w:rPr>
          <w:rFonts w:eastAsia="Times New Roman"/>
          <w:color w:val="000000"/>
        </w:rPr>
        <w:t>ndarti bilan belgilanadi.</w:t>
      </w:r>
    </w:p>
    <w:p w14:paraId="31C3F4D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Budjet tashkilotlarining buxgalteriya hisobini va moliyaviy hisobotini tartibga solish Oʻzbekiston Respublikasi Moliya vazirligi tomonidan tasdiqlanadigan budjet hisobi standartlari asosida amalga oshiriladi.</w:t>
      </w:r>
    </w:p>
    <w:p w14:paraId="45945DF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Banklarning buxgalter</w:t>
      </w:r>
      <w:r>
        <w:rPr>
          <w:rFonts w:eastAsia="Times New Roman"/>
          <w:color w:val="000000"/>
        </w:rPr>
        <w:t>iya hisobi va hisobotni tartibga solish Markaziy bank tomonidan qonun hujjatlariga muvofiq amalga oshiriladi.</w:t>
      </w:r>
    </w:p>
    <w:p w14:paraId="67E62E6A" w14:textId="77777777" w:rsidR="00000000" w:rsidRDefault="008840AF">
      <w:pPr>
        <w:shd w:val="clear" w:color="auto" w:fill="FFFFFF"/>
        <w:ind w:firstLine="851"/>
        <w:jc w:val="both"/>
        <w:divId w:val="202253342"/>
        <w:rPr>
          <w:rFonts w:eastAsia="Times New Roman"/>
          <w:b/>
          <w:bCs/>
          <w:color w:val="000080"/>
        </w:rPr>
      </w:pPr>
      <w:r>
        <w:rPr>
          <w:rFonts w:eastAsia="Times New Roman"/>
          <w:b/>
          <w:bCs/>
          <w:color w:val="000080"/>
        </w:rPr>
        <w:t>6-modda. Buxgalteriya hisobining asosiy qoidalari</w:t>
      </w:r>
    </w:p>
    <w:p w14:paraId="048F763F"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hisobining asosiy qoidalari quyidagilardir:</w:t>
      </w:r>
    </w:p>
    <w:p w14:paraId="0EB80B4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 ikki yoqlama yozu</w:t>
      </w:r>
      <w:r>
        <w:rPr>
          <w:rFonts w:eastAsia="Times New Roman"/>
          <w:color w:val="000000"/>
        </w:rPr>
        <w:t>v usulida yuritish;</w:t>
      </w:r>
    </w:p>
    <w:p w14:paraId="45958C1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uzluksizlik;</w:t>
      </w:r>
    </w:p>
    <w:p w14:paraId="152B49E3"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xoʻjalik operatsiyalari, aktivlar va passivlarni pulda baholanishi;</w:t>
      </w:r>
    </w:p>
    <w:p w14:paraId="38BE378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aniqlik;</w:t>
      </w:r>
    </w:p>
    <w:p w14:paraId="7465C48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hisoblash;</w:t>
      </w:r>
    </w:p>
    <w:p w14:paraId="7F318AF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oldindan koʻra bilish (ehtiyotkorlik);</w:t>
      </w:r>
    </w:p>
    <w:p w14:paraId="2AAD25C9"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mazmunning shakldan ustunligi;</w:t>
      </w:r>
    </w:p>
    <w:p w14:paraId="4F8F53D4"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koʻrsatkichlarning qiyoslanuvchanligi;</w:t>
      </w:r>
    </w:p>
    <w:p w14:paraId="488FD49E"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hisobotning betarafligi;</w:t>
      </w:r>
    </w:p>
    <w:p w14:paraId="50DC7AC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hisobot davri daromadlari va xarajatlarining muvofiqligi;</w:t>
      </w:r>
    </w:p>
    <w:p w14:paraId="355E1149"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aktivlar va majburiyatlarning haqiqiy baholanishi.</w:t>
      </w:r>
    </w:p>
    <w:p w14:paraId="74C9E8D2" w14:textId="77777777" w:rsidR="00000000" w:rsidRDefault="008840AF">
      <w:pPr>
        <w:shd w:val="clear" w:color="auto" w:fill="FFFFFF"/>
        <w:ind w:firstLine="851"/>
        <w:jc w:val="both"/>
        <w:divId w:val="541946007"/>
        <w:rPr>
          <w:rFonts w:eastAsia="Times New Roman"/>
          <w:b/>
          <w:bCs/>
          <w:color w:val="000080"/>
        </w:rPr>
      </w:pPr>
      <w:r>
        <w:rPr>
          <w:rFonts w:eastAsia="Times New Roman"/>
          <w:b/>
          <w:bCs/>
          <w:color w:val="000080"/>
        </w:rPr>
        <w:t>7-modda. Buxgalteriya hisobini tashkil etish</w:t>
      </w:r>
    </w:p>
    <w:p w14:paraId="00F5AF3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va hisob</w:t>
      </w:r>
      <w:r>
        <w:rPr>
          <w:rFonts w:eastAsia="Times New Roman"/>
          <w:color w:val="000000"/>
        </w:rPr>
        <w:t>otini tashkil etishni korxona, muassasa va tashkilot rahbari amalga oshiradi.</w:t>
      </w:r>
    </w:p>
    <w:p w14:paraId="6C4E715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Rahbar quyidagi huquqlarga ega:</w:t>
      </w:r>
    </w:p>
    <w:p w14:paraId="185E291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bosh buxgalter rahbarligida buxgalteriya hisobi xizmatini tashkil etish yoki shartnoma asosida jalb qilingan buxgalter xizmatidan foydalanish;</w:t>
      </w:r>
    </w:p>
    <w:p w14:paraId="6F5A1AC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w:t>
      </w:r>
      <w:r>
        <w:rPr>
          <w:rFonts w:eastAsia="Times New Roman"/>
          <w:color w:val="000000"/>
        </w:rPr>
        <w:t>galteriya hisobi yuritishni shartnoma asosida ixtisoslashtirilgan buxgalteriya firmasiga yoki tarkibiga buxgalteriya subyekti ham kiradigan xoʻjalik birlashmasining markazlashtirilgan hisobga olish boʻlimiga yuklash;</w:t>
      </w:r>
    </w:p>
    <w:p w14:paraId="6EC17D69"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 mustaqil yuritish</w:t>
      </w:r>
      <w:r>
        <w:rPr>
          <w:rFonts w:eastAsia="Times New Roman"/>
          <w:color w:val="000000"/>
        </w:rPr>
        <w:t>.</w:t>
      </w:r>
    </w:p>
    <w:p w14:paraId="0FF5059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Rahbar quyidagilarni taʼminlashi shart:</w:t>
      </w:r>
    </w:p>
    <w:p w14:paraId="45E3CFE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ichki hisob va hisobot tizimi ishlab chiqilishini;</w:t>
      </w:r>
    </w:p>
    <w:p w14:paraId="4FAC12F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xoʻjalik operatsiyalarini nazorat qilish tartibini;</w:t>
      </w:r>
    </w:p>
    <w:p w14:paraId="1761124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toʻliq va aniq yuritilishini;</w:t>
      </w:r>
    </w:p>
    <w:p w14:paraId="0206371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hisob-kitob hujjatlarining saqlanishini;</w:t>
      </w:r>
    </w:p>
    <w:p w14:paraId="437CEB7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tashqi foydalanuvchi</w:t>
      </w:r>
      <w:r>
        <w:rPr>
          <w:rFonts w:eastAsia="Times New Roman"/>
          <w:color w:val="000000"/>
        </w:rPr>
        <w:t>lar uchun moliyaviy hisobot tayyorlanishini;</w:t>
      </w:r>
    </w:p>
    <w:p w14:paraId="2A60FF5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soliq hisobotlari va boshqa moliyaviy hujjatlar tayyorlanishini;</w:t>
      </w:r>
    </w:p>
    <w:p w14:paraId="6631247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hisob-kitoblar oʻz vaqtida amalga oshirilishini.</w:t>
      </w:r>
    </w:p>
    <w:p w14:paraId="0650E457" w14:textId="77777777" w:rsidR="00000000" w:rsidRDefault="008840AF">
      <w:pPr>
        <w:shd w:val="clear" w:color="auto" w:fill="FFFFFF"/>
        <w:ind w:firstLine="851"/>
        <w:jc w:val="both"/>
        <w:divId w:val="165094956"/>
        <w:rPr>
          <w:rFonts w:eastAsia="Times New Roman"/>
          <w:b/>
          <w:bCs/>
          <w:color w:val="000080"/>
        </w:rPr>
      </w:pPr>
      <w:r>
        <w:rPr>
          <w:rFonts w:eastAsia="Times New Roman"/>
          <w:b/>
          <w:bCs/>
          <w:color w:val="000080"/>
        </w:rPr>
        <w:t>8-modda. Imzo huquqi</w:t>
      </w:r>
    </w:p>
    <w:p w14:paraId="6854A1C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Pul, tovar-moddiy va boshqa boyliklarni qabul qilish va berish uchun asos bo</w:t>
      </w:r>
      <w:r>
        <w:rPr>
          <w:rFonts w:eastAsia="Times New Roman"/>
          <w:color w:val="000000"/>
        </w:rPr>
        <w:t>ʻlib xizmat qiladigan hujjatlar, korxona, muassasa va tashkilotning kredit va hisob-kitob majburiyatlari, shuningdek buxgalteriya hisobotlari va balanslari rahbar tomonidan yoki u belgilaydigan shaxslar tomonidan imzolanadi.</w:t>
      </w:r>
    </w:p>
    <w:p w14:paraId="11CFA77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Rahbar imzolash huquqiga ega bo</w:t>
      </w:r>
      <w:r>
        <w:rPr>
          <w:rFonts w:eastAsia="Times New Roman"/>
          <w:color w:val="000000"/>
        </w:rPr>
        <w:t>ʻlgan shaxslarini ikkita roʻyxatini tasdiqlaydi. Birinchi roʻyxatga — rahbarlik vazifalarini amalga oshiruvchi shaxslar, ikkinchisiga — buxgalteriya hisobi va moliyaviy boshqarish vazifalarini amalga oshiruvchi shaxslar kiradi.</w:t>
      </w:r>
    </w:p>
    <w:p w14:paraId="665834F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 xml:space="preserve">Ushbu moddaning </w:t>
      </w:r>
      <w:hyperlink r:id="rId4" w:history="1">
        <w:r>
          <w:rPr>
            <w:rFonts w:eastAsia="Times New Roman"/>
            <w:color w:val="008080"/>
          </w:rPr>
          <w:t xml:space="preserve">ikkinchi qismida </w:t>
        </w:r>
      </w:hyperlink>
      <w:r>
        <w:rPr>
          <w:rFonts w:eastAsia="Times New Roman"/>
          <w:color w:val="000000"/>
        </w:rPr>
        <w:t>koʻrsatilgan shaxslarning imzosi boʻlmagan hujjatlar haqiqiy hisoblanmaydi.</w:t>
      </w:r>
    </w:p>
    <w:p w14:paraId="60F5563A" w14:textId="77777777" w:rsidR="00000000" w:rsidRDefault="008840AF">
      <w:pPr>
        <w:shd w:val="clear" w:color="auto" w:fill="FFFFFF"/>
        <w:ind w:firstLine="851"/>
        <w:jc w:val="both"/>
        <w:divId w:val="2120027818"/>
        <w:rPr>
          <w:rFonts w:eastAsia="Times New Roman"/>
          <w:b/>
          <w:bCs/>
          <w:color w:val="000080"/>
        </w:rPr>
      </w:pPr>
      <w:r>
        <w:rPr>
          <w:rFonts w:eastAsia="Times New Roman"/>
          <w:b/>
          <w:bCs/>
          <w:color w:val="000080"/>
        </w:rPr>
        <w:t>9-modda. Boshlangʻich hisob hujjatlari</w:t>
      </w:r>
    </w:p>
    <w:p w14:paraId="3EF9CF2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Xoʻjalik operatsiyalarining buxgalteriya hisobi uchun operatsiyalar amalga oshirilganligini qayd etuvchi boshlangʻich hisob hujjatlari va ularni oʻtkazishga doir farmoyishlar asos boʻladi. Xoʻjalik yurituvchi subyektlar tomonidan savdo va servis sohasida o</w:t>
      </w:r>
      <w:r>
        <w:rPr>
          <w:rFonts w:eastAsia="Times New Roman"/>
          <w:color w:val="000000"/>
        </w:rPr>
        <w:t>linadigan tovarlar (ishlar, xizmatlar) haqi korporativ plastik kartalardan foydalangan holda toʻlanganida toʻlov terminallarining cheklari ham boshlangʻich hisob hujjatlari deb tan olinadi.</w:t>
      </w:r>
    </w:p>
    <w:p w14:paraId="108BF996"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Boshlangʻich hisob hujjatlari xoʻjalik operatsiyalari amalga oshir</w:t>
      </w:r>
      <w:r>
        <w:rPr>
          <w:rFonts w:eastAsia="Times New Roman"/>
          <w:color w:val="000000"/>
        </w:rPr>
        <w:t>ilayotgan vaqtda yoki operatsiyalar amalga oshirib boʻlinganidan keyin tuziladi.</w:t>
      </w:r>
    </w:p>
    <w:p w14:paraId="64F2A5BD"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Hisobot davriga tegishli boʻlgan xoʻjalik operatsiyalari, agar ular amalga oshirilganligini tasdiqlovchi hujjatlar olinmagan boʻlsa, tegishli boshlangʻich hujjat rasmiylashtir</w:t>
      </w:r>
      <w:r>
        <w:rPr>
          <w:rFonts w:eastAsia="Times New Roman"/>
          <w:color w:val="000000"/>
        </w:rPr>
        <w:t>ilib, buxgalteriya hisobida aks ettiriladi.</w:t>
      </w:r>
    </w:p>
    <w:p w14:paraId="4BCD30F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Boshlangʻich hisob hujjatlarining majburiy rekvizitlari quyidagilardir:</w:t>
      </w:r>
    </w:p>
    <w:p w14:paraId="19DCE78D"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korxonaning (muassasaning) nomi;</w:t>
      </w:r>
    </w:p>
    <w:p w14:paraId="4AABC1F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hujjatning nomi va raqami, u tuzilgan sana va joy;</w:t>
      </w:r>
    </w:p>
    <w:p w14:paraId="3A3C43D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xoʻjalik operatsiyasining nomi, mazmuni va miqdor oʻlcho</w:t>
      </w:r>
      <w:r>
        <w:rPr>
          <w:rFonts w:eastAsia="Times New Roman"/>
          <w:color w:val="000000"/>
        </w:rPr>
        <w:t>vi (natura holida va pulda ifodalangan holida);</w:t>
      </w:r>
    </w:p>
    <w:p w14:paraId="3502A023"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masʼul shaxslarning shaxsiy imzolari.</w:t>
      </w:r>
    </w:p>
    <w:p w14:paraId="40C6382E"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Boshlangʻich hisob hujjatlarini tuzgan hamda imzolagan shaxslar ularning oʻz vaqtida toʻgʻri va aniq tuzilishi, shuningdek buxgalteriya hisobida aks ettirish uchun ularni</w:t>
      </w:r>
      <w:r>
        <w:rPr>
          <w:rFonts w:eastAsia="Times New Roman"/>
          <w:color w:val="000000"/>
        </w:rPr>
        <w:t>ng belgilangan muddatlarda topshirilishiga javobgardirlar.</w:t>
      </w:r>
    </w:p>
    <w:p w14:paraId="0F6611E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Boshlangʻich hisob hujjatlariga xoʻjalik operatsiyasi qatnashchilari tomonidan tasdiqlanmagan tuzatishlar kiritilishiga yoʻl qoʻyilmaydi. Bank va kassalar hujjatlarida tuzatishlar va oʻchirib yozis</w:t>
      </w:r>
      <w:r>
        <w:rPr>
          <w:rFonts w:eastAsia="Times New Roman"/>
          <w:color w:val="000000"/>
        </w:rPr>
        <w:t>hlarga yoʻl qoʻyilmaydi.</w:t>
      </w:r>
    </w:p>
    <w:p w14:paraId="59C9B8E9" w14:textId="77777777" w:rsidR="00000000" w:rsidRDefault="008840AF">
      <w:pPr>
        <w:shd w:val="clear" w:color="auto" w:fill="FFFFFF"/>
        <w:ind w:firstLine="851"/>
        <w:jc w:val="both"/>
        <w:divId w:val="581137060"/>
        <w:rPr>
          <w:rFonts w:eastAsia="Times New Roman"/>
          <w:b/>
          <w:bCs/>
          <w:color w:val="000080"/>
        </w:rPr>
      </w:pPr>
      <w:r>
        <w:rPr>
          <w:rFonts w:eastAsia="Times New Roman"/>
          <w:b/>
          <w:bCs/>
          <w:color w:val="000080"/>
        </w:rPr>
        <w:t>10-modda. Buxgalteriya hisobi registrlari</w:t>
      </w:r>
    </w:p>
    <w:p w14:paraId="2AC7B55D"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registrlari ikki yoqlama yozuv qoidalariga muvofiq yuritiladigan jurnallar, qaydnomalar, daftarlar, tasdiqlangan blankalar (shakllar)dir.</w:t>
      </w:r>
    </w:p>
    <w:p w14:paraId="4A8567C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Registrlar texnika vositalarida</w:t>
      </w:r>
      <w:r>
        <w:rPr>
          <w:rFonts w:eastAsia="Times New Roman"/>
          <w:color w:val="000000"/>
        </w:rPr>
        <w:t>n foydalanishda olingan mashinogramma koʻrinishidagi yozuvlar yoʻli bilan, shuningdek magnit tasmalari, disklar, disketlar va boshqa mashinalarda bajarilishi mumkin. Registrlarni shakllantirish tartibi buxgalteriya hisobi standartlari bilan belgilanadi.</w:t>
      </w:r>
    </w:p>
    <w:p w14:paraId="7AEB49EE"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w:t>
      </w:r>
      <w:r>
        <w:rPr>
          <w:rFonts w:eastAsia="Times New Roman"/>
          <w:color w:val="000000"/>
        </w:rPr>
        <w:t>xgalteriya hisobi registrlariga tasdiqlanmagan tuzatishlarning kiritilishiga yoʻl qoʻyilmaydi.</w:t>
      </w:r>
    </w:p>
    <w:p w14:paraId="2F802D57" w14:textId="77777777" w:rsidR="00000000" w:rsidRDefault="008840AF">
      <w:pPr>
        <w:shd w:val="clear" w:color="auto" w:fill="FFFFFF"/>
        <w:ind w:firstLine="851"/>
        <w:jc w:val="both"/>
        <w:divId w:val="836844485"/>
        <w:rPr>
          <w:rFonts w:eastAsia="Times New Roman"/>
          <w:b/>
          <w:bCs/>
          <w:color w:val="000080"/>
        </w:rPr>
      </w:pPr>
      <w:r>
        <w:rPr>
          <w:rFonts w:eastAsia="Times New Roman"/>
          <w:b/>
          <w:bCs/>
          <w:color w:val="000080"/>
        </w:rPr>
        <w:t>11-modda. Aktivlar va majburiyatlarni inventarizatsiya qilish</w:t>
      </w:r>
    </w:p>
    <w:p w14:paraId="6358427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va hisoboti maʼlumotlarining toʻgʻriligi hamda aniqligi aktivlar va majburiyatl</w:t>
      </w:r>
      <w:r>
        <w:rPr>
          <w:rFonts w:eastAsia="Times New Roman"/>
          <w:color w:val="000000"/>
        </w:rPr>
        <w:t>arni majburiy suratda inventarizatsiya qilish orqali tasdiqlanadi. Inventarizatsiya obyektlari, uni oʻtkazish tartibi va muddatlari inventarizatsiya boʻyicha buxgalteriya hisobi standartiga muvofiq belgilanadi.</w:t>
      </w:r>
    </w:p>
    <w:p w14:paraId="4BF9A8BD" w14:textId="77777777" w:rsidR="00000000" w:rsidRDefault="008840AF">
      <w:pPr>
        <w:shd w:val="clear" w:color="auto" w:fill="FFFFFF"/>
        <w:ind w:firstLine="851"/>
        <w:jc w:val="both"/>
        <w:divId w:val="436103730"/>
        <w:rPr>
          <w:rFonts w:eastAsia="Times New Roman"/>
          <w:b/>
          <w:bCs/>
          <w:color w:val="000080"/>
        </w:rPr>
      </w:pPr>
      <w:r>
        <w:rPr>
          <w:rFonts w:eastAsia="Times New Roman"/>
          <w:b/>
          <w:bCs/>
          <w:color w:val="000080"/>
        </w:rPr>
        <w:t>12-modda. Aktivlar va majburiyatlarni baholas</w:t>
      </w:r>
      <w:r>
        <w:rPr>
          <w:rFonts w:eastAsia="Times New Roman"/>
          <w:b/>
          <w:bCs/>
          <w:color w:val="000080"/>
        </w:rPr>
        <w:t>h</w:t>
      </w:r>
    </w:p>
    <w:p w14:paraId="43CB43A3"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Oborot aktivlarni baholash quyidagi ikki bahoning eng pasti boʻyicha — balans tuzilayotgan sanadagi haqiqiy tannarxi boʻyicha — (sotib olish narxi yoki ishlab chiqarish tannarxi) yoki bozor bahosi boʻyicha (sof sotish qiymati) amalga oshiriladi.</w:t>
      </w:r>
    </w:p>
    <w:p w14:paraId="67EE8A0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Asosiy m</w:t>
      </w:r>
      <w:r>
        <w:rPr>
          <w:rFonts w:eastAsia="Times New Roman"/>
          <w:color w:val="000000"/>
        </w:rPr>
        <w:t xml:space="preserve">ablagʻlar va nomoddiy aktivlar ularning toʻliq boshlangʻich qiymati boʻyicha hisobga olinadi. </w:t>
      </w:r>
    </w:p>
    <w:p w14:paraId="4532D34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Asosiy mablagʻlar va nomoddiy aktivlar qiymatini hisobdan chiqarish ularning qiymati toʻliq toʻlangunga yoki obyekt safdan chiqib ketgunga qadar boʻlgan eskirish</w:t>
      </w:r>
      <w:r>
        <w:rPr>
          <w:rFonts w:eastAsia="Times New Roman"/>
          <w:color w:val="000000"/>
        </w:rPr>
        <w:t>ini (amortizatsiyani) hisoblash yoʻli bilan amalga oshiriladi. Amortizatsiya ajratmalari obyekt foydalanishga topshirilganidan keyingi oydan boshlab amalga oshiriladi. Erning qiymati amortizatsiya qilinmaydi.</w:t>
      </w:r>
    </w:p>
    <w:p w14:paraId="49E08B0F"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qoʻyilmalar buxgalteriya hisobi stand</w:t>
      </w:r>
      <w:r>
        <w:rPr>
          <w:rFonts w:eastAsia="Times New Roman"/>
          <w:color w:val="000000"/>
        </w:rPr>
        <w:t>artlariga muvofiq hisobga olinadi.</w:t>
      </w:r>
    </w:p>
    <w:p w14:paraId="46439BB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Majburiyatlar taraflarning kelishuviga binoan pul bilan aks ettiriladi.</w:t>
      </w:r>
    </w:p>
    <w:p w14:paraId="2ABA5A9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Sud qarori boʻyicha yuzaga kelgan majburiyatlar tegishli summada aks ettiriladi.</w:t>
      </w:r>
    </w:p>
    <w:p w14:paraId="4A32C7F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Potensial majburiyatlar dastlabki haqiqiy bahosi boʻyicha aks ettiri</w:t>
      </w:r>
      <w:r>
        <w:rPr>
          <w:rFonts w:eastAsia="Times New Roman"/>
          <w:color w:val="000000"/>
        </w:rPr>
        <w:t>ladi.</w:t>
      </w:r>
    </w:p>
    <w:p w14:paraId="192D6E6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milliy valyuta — soʻmda kiritiladi.</w:t>
      </w:r>
    </w:p>
    <w:p w14:paraId="7EF01C1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Budjet tashkilotlarining aktivlari va majburiyatlarini baholash budjet hisobi standartlariga muvofiq amalga oshiriladi.</w:t>
      </w:r>
    </w:p>
    <w:p w14:paraId="5C724F35" w14:textId="77777777" w:rsidR="00000000" w:rsidRDefault="008840AF">
      <w:pPr>
        <w:shd w:val="clear" w:color="auto" w:fill="FFFFFF"/>
        <w:ind w:firstLine="851"/>
        <w:jc w:val="both"/>
        <w:divId w:val="688531417"/>
        <w:rPr>
          <w:rFonts w:eastAsia="Times New Roman"/>
          <w:b/>
          <w:bCs/>
          <w:color w:val="000080"/>
        </w:rPr>
      </w:pPr>
      <w:r>
        <w:rPr>
          <w:rFonts w:eastAsia="Times New Roman"/>
          <w:b/>
          <w:bCs/>
          <w:color w:val="000080"/>
        </w:rPr>
        <w:t>13-modda. Daromadlar va xarajatlarni hisobga olish</w:t>
      </w:r>
    </w:p>
    <w:p w14:paraId="28558E94"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Daromadlar va xarajatlar, toʻlangan vaqti va pul kelib tushgan sanadan qatʼi nazar, qaysi davrga taalluqli boʻlsa, oʻsha hisobot davrida aks ettiriladi.</w:t>
      </w:r>
    </w:p>
    <w:p w14:paraId="754B93F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Oʻzbekiston Respublikasi Davlat budjetining va davla</w:t>
      </w:r>
      <w:r>
        <w:rPr>
          <w:rFonts w:eastAsia="Times New Roman"/>
          <w:color w:val="000000"/>
        </w:rPr>
        <w:t>t maqsadli jamgʻarmalari budjetlarining ijrosi boʻyicha daromadlar va xarajatlar ular kelib tushgan yoki toʻlangan davrda budjet hisobi standartlariga muvofiq aks ettiriladi.</w:t>
      </w:r>
    </w:p>
    <w:p w14:paraId="6F7745A9" w14:textId="77777777" w:rsidR="00000000" w:rsidRDefault="008840AF">
      <w:pPr>
        <w:shd w:val="clear" w:color="auto" w:fill="FFFFFF"/>
        <w:ind w:firstLine="851"/>
        <w:jc w:val="both"/>
        <w:divId w:val="1342127172"/>
        <w:rPr>
          <w:rFonts w:eastAsia="Times New Roman"/>
          <w:b/>
          <w:bCs/>
          <w:color w:val="000080"/>
        </w:rPr>
      </w:pPr>
      <w:r>
        <w:rPr>
          <w:rFonts w:eastAsia="Times New Roman"/>
          <w:b/>
          <w:bCs/>
          <w:color w:val="000080"/>
        </w:rPr>
        <w:t>14-modda. Xususiy kapitalni hisobga olish</w:t>
      </w:r>
    </w:p>
    <w:p w14:paraId="4DB85EC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Xususiy kapital — ustav kapitali, qoʻsh</w:t>
      </w:r>
      <w:r>
        <w:rPr>
          <w:rFonts w:eastAsia="Times New Roman"/>
          <w:color w:val="000000"/>
        </w:rPr>
        <w:t>ilgan, zaxira kapitalidan, hamda taqsimlanmagan foydadan tarkib topadi.</w:t>
      </w:r>
    </w:p>
    <w:p w14:paraId="3517DD6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Ustav kapitali — taʼsis hujjatlarida belgilangan hissalarning (pul ifodasida) yigʻindisidir. Ustav kapitaliga hissa shaklida qoʻshiladigan moddiy va nomoddiy aktivlar taʼsischilar keli</w:t>
      </w:r>
      <w:r>
        <w:rPr>
          <w:rFonts w:eastAsia="Times New Roman"/>
          <w:color w:val="000000"/>
        </w:rPr>
        <w:t>shuviga yoki yuridik shaxs ijroiya organining qaroriga koʻra belgilanadi va hisobga olinadi.</w:t>
      </w:r>
    </w:p>
    <w:p w14:paraId="6F961A66"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Qoʻshilgan kapital aksiyalarni nominal qiymatidan baland narxlarda dastlabki sotishdan olinadigan emissiya daromadini aks ettiradi.</w:t>
      </w:r>
    </w:p>
    <w:p w14:paraId="6C7FB4A9"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Zaxira kapitali mol-mulkni qayt</w:t>
      </w:r>
      <w:r>
        <w:rPr>
          <w:rFonts w:eastAsia="Times New Roman"/>
          <w:color w:val="000000"/>
        </w:rPr>
        <w:t>a baholash chogʻida hosil boʻladigan inflyatsiya zaxiralarini, shuningdek tekinga olingan mol-mulk qiymatini aks ettiradi.</w:t>
      </w:r>
    </w:p>
    <w:p w14:paraId="7A42B01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Taqsimlanmagan foyda foydaning jamgʻarilayotganini ifodalaydi va mulkdorlarning qaroriga binoan ustav kapitaliga qoʻshilishi mumkin.</w:t>
      </w:r>
    </w:p>
    <w:p w14:paraId="6B6AC742" w14:textId="77777777" w:rsidR="00000000" w:rsidRDefault="008840AF">
      <w:pPr>
        <w:shd w:val="clear" w:color="auto" w:fill="FFFFFF"/>
        <w:ind w:firstLine="851"/>
        <w:jc w:val="both"/>
        <w:divId w:val="501161343"/>
        <w:rPr>
          <w:rFonts w:eastAsia="Times New Roman"/>
          <w:b/>
          <w:bCs/>
          <w:color w:val="000080"/>
        </w:rPr>
      </w:pPr>
      <w:r>
        <w:rPr>
          <w:rFonts w:eastAsia="Times New Roman"/>
          <w:b/>
          <w:bCs/>
          <w:color w:val="000080"/>
        </w:rPr>
        <w:t>15-modda. Garovni hisobga olish</w:t>
      </w:r>
    </w:p>
    <w:p w14:paraId="7A6B2BE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Oʻzining yoki oʻzgalarning majburiyatlarini taʼminlash uchun garovga berilgan mol-mulk qiymati, shu jumladan pul mablagʻlari korxona tomonidan boshqa aktivlardan alohida hisobga olinadi.</w:t>
      </w:r>
    </w:p>
    <w:p w14:paraId="7C7F4F2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Garovga olingan mol-mulk qiymati, gar</w:t>
      </w:r>
      <w:r>
        <w:rPr>
          <w:rFonts w:eastAsia="Times New Roman"/>
          <w:color w:val="000000"/>
        </w:rPr>
        <w:t>ov sifatida qabul qilib olingan pul mablagʻlari va valyuta boyliklari qiymati alohida balansdan tashqari hisobvaraqlarda aks ettiriladi.</w:t>
      </w:r>
    </w:p>
    <w:p w14:paraId="3B0C3AC0" w14:textId="77777777" w:rsidR="00000000" w:rsidRDefault="008840AF">
      <w:pPr>
        <w:shd w:val="clear" w:color="auto" w:fill="FFFFFF"/>
        <w:ind w:firstLine="851"/>
        <w:jc w:val="both"/>
        <w:divId w:val="857042441"/>
        <w:rPr>
          <w:rFonts w:eastAsia="Times New Roman"/>
          <w:b/>
          <w:bCs/>
          <w:color w:val="000080"/>
        </w:rPr>
      </w:pPr>
      <w:r>
        <w:rPr>
          <w:rFonts w:eastAsia="Times New Roman"/>
          <w:b/>
          <w:bCs/>
          <w:color w:val="000080"/>
        </w:rPr>
        <w:t>16-modda. Moliyaviy hisobot</w:t>
      </w:r>
    </w:p>
    <w:p w14:paraId="5F369869"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hisobot buxgalteriya hisobi maʼlumotlari asosida tuziladi.</w:t>
      </w:r>
    </w:p>
    <w:p w14:paraId="4C81EAF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hisobot quyi</w:t>
      </w:r>
      <w:r>
        <w:rPr>
          <w:rFonts w:eastAsia="Times New Roman"/>
          <w:color w:val="000000"/>
        </w:rPr>
        <w:t>dagilarni oʻz ichiga oladi:</w:t>
      </w:r>
    </w:p>
    <w:p w14:paraId="2F207C2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balansi;</w:t>
      </w:r>
    </w:p>
    <w:p w14:paraId="0C48676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natijalar toʻgʻrisidagi hisobot;</w:t>
      </w:r>
    </w:p>
    <w:p w14:paraId="50B45FFE"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pul oqimlari toʻgʻrisidagi hisobot;</w:t>
      </w:r>
    </w:p>
    <w:p w14:paraId="32D3713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xususiy kapital toʻgʻrisidagi hisobot;</w:t>
      </w:r>
    </w:p>
    <w:p w14:paraId="74ABDC1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izohlar, hisob-kitoblar va tushuntirishlar.</w:t>
      </w:r>
    </w:p>
    <w:p w14:paraId="002761A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Kichik va xususiy tadbirkorlik subyektlarini</w:t>
      </w:r>
      <w:r>
        <w:rPr>
          <w:rFonts w:eastAsia="Times New Roman"/>
          <w:color w:val="000000"/>
        </w:rPr>
        <w:t>ng moliyaviy hisoboti soddalashtirilgan shaklda tuziladi.</w:t>
      </w:r>
    </w:p>
    <w:p w14:paraId="01D94053"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 xml:space="preserve">Budjet tashkilotlarining moliyaviy hisoboti budjet toʻgʻrisidagi qonun hujjatlariga muvofiq tuziladi va taqdim etiladi. </w:t>
      </w:r>
    </w:p>
    <w:p w14:paraId="068553A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hisobotning tarkibi va mazmuni Oʻzbekiston Respublikasi Moliya vazi</w:t>
      </w:r>
      <w:r>
        <w:rPr>
          <w:rFonts w:eastAsia="Times New Roman"/>
          <w:color w:val="000000"/>
        </w:rPr>
        <w:t>rligi tomonidan belgilanadi.</w:t>
      </w:r>
    </w:p>
    <w:p w14:paraId="43E7B315" w14:textId="77777777" w:rsidR="00000000" w:rsidRDefault="008840AF">
      <w:pPr>
        <w:shd w:val="clear" w:color="auto" w:fill="FFFFFF"/>
        <w:ind w:firstLine="851"/>
        <w:jc w:val="both"/>
        <w:divId w:val="2028557240"/>
        <w:rPr>
          <w:rFonts w:eastAsia="Times New Roman"/>
          <w:b/>
          <w:bCs/>
          <w:color w:val="000080"/>
        </w:rPr>
      </w:pPr>
      <w:r>
        <w:rPr>
          <w:rFonts w:eastAsia="Times New Roman"/>
          <w:b/>
          <w:bCs/>
          <w:color w:val="000080"/>
        </w:rPr>
        <w:t>17-modda. Umumlashtirilgan moliyaviy hisobot</w:t>
      </w:r>
    </w:p>
    <w:p w14:paraId="2ACDFCC4"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Shuʼba korxonalari, filiallari va vakolatxonalari boʻlgan korxonalar umumlashtirilgan moliyaviy hisobot tuzadi.</w:t>
      </w:r>
    </w:p>
    <w:p w14:paraId="3B66BBF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Shuʼba korxonalarga qoʻshilgan hissalar bosh korxonaning moliyaviy his</w:t>
      </w:r>
      <w:r>
        <w:rPr>
          <w:rFonts w:eastAsia="Times New Roman"/>
          <w:color w:val="000000"/>
        </w:rPr>
        <w:t>obotida uning moliyaviy qoʻyilmalari sifatida aks ettiriladi.</w:t>
      </w:r>
    </w:p>
    <w:p w14:paraId="6F46385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Yuridik shaxslar oʻz filiallari, vakolatxonalari va boshqa tarkibiy boʻlinmalarini mustaqil balansga ajratishlari mumkin boʻlib, ularning balanslari va boshqa hisobot shakllarini oʻzlarining umu</w:t>
      </w:r>
      <w:r>
        <w:rPr>
          <w:rFonts w:eastAsia="Times New Roman"/>
          <w:color w:val="000000"/>
        </w:rPr>
        <w:t>mlashtirilgan hisobotiga kiritishlari shart.</w:t>
      </w:r>
    </w:p>
    <w:p w14:paraId="73EB54BD"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Umumlashtirilgan hisobotga bosh korxona, uning shuʼba korxonalari, filiallari va vakolatxonalarining moliyaviy hisobotlari ilova qilinadi.</w:t>
      </w:r>
    </w:p>
    <w:p w14:paraId="261EC448"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Umumlashtirilgan hisobot buxgalteriya hisobi standartlariga muvofiq tuziladi.</w:t>
      </w:r>
    </w:p>
    <w:p w14:paraId="055CCE1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 xml:space="preserve">Ushbu moddaning talablari vazirliklar, </w:t>
      </w:r>
      <w:r>
        <w:rPr>
          <w:rFonts w:eastAsia="Times New Roman"/>
          <w:color w:val="000000"/>
        </w:rPr>
        <w:t>idoralar va budjet tashkilotlarining jamlama moliyaviy hisobotiga nisbatan tatbiq etilmaydi.</w:t>
      </w:r>
    </w:p>
    <w:p w14:paraId="545BB461" w14:textId="77777777" w:rsidR="00000000" w:rsidRDefault="008840AF">
      <w:pPr>
        <w:shd w:val="clear" w:color="auto" w:fill="FFFFFF"/>
        <w:ind w:firstLine="851"/>
        <w:jc w:val="both"/>
        <w:divId w:val="1562864450"/>
        <w:rPr>
          <w:rFonts w:eastAsia="Times New Roman"/>
          <w:b/>
          <w:bCs/>
          <w:color w:val="000080"/>
        </w:rPr>
      </w:pPr>
      <w:r>
        <w:rPr>
          <w:rFonts w:eastAsia="Times New Roman"/>
          <w:b/>
          <w:bCs/>
          <w:color w:val="000080"/>
        </w:rPr>
        <w:t>18-modda. Moliyaviy hisobotning hisobot davri</w:t>
      </w:r>
    </w:p>
    <w:p w14:paraId="5D23CD8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1-yanvardan 31-dekabrga qadar boʻlgan kalendar yil moliyaviy hisobotning hisobot davri hisoblanadi.</w:t>
      </w:r>
    </w:p>
    <w:p w14:paraId="419050D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 xml:space="preserve">Yangidan tashkil </w:t>
      </w:r>
      <w:r>
        <w:rPr>
          <w:rFonts w:eastAsia="Times New Roman"/>
          <w:color w:val="000000"/>
        </w:rPr>
        <w:t>etilgan yuridik shaxslar uchun yuridik shaxs huquqi qoʻlga kiritilgan sanadan boshlab oʻsha yilning 31-dekabriga qadar boʻlgan davri yuridik shaxs hisoblanmaydiganlar uchun esa, uning davlat organlarida roʻyxatga olingan sanadan boshlab birinchi hisobot yi</w:t>
      </w:r>
      <w:r>
        <w:rPr>
          <w:rFonts w:eastAsia="Times New Roman"/>
          <w:color w:val="000000"/>
        </w:rPr>
        <w:t>li deb hisoblanadi.</w:t>
      </w:r>
    </w:p>
    <w:p w14:paraId="5879322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Agar yuridik (budjet tashkilotlaridan tashqari) shaxs 1-oktabrdan keyin roʻyxatga olingan boʻlsa, birinchi hisobot yili keyingi yilning 31-dekabrida tugaydi.</w:t>
      </w:r>
    </w:p>
    <w:p w14:paraId="3C86B06E"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Roʻyxatdan oʻtishga yoki yuridik shaxs huquqini qoʻlga kiritishga qadar amalga</w:t>
      </w:r>
      <w:r>
        <w:rPr>
          <w:rFonts w:eastAsia="Times New Roman"/>
          <w:color w:val="000000"/>
        </w:rPr>
        <w:t xml:space="preserve"> oshirilgan xoʻjalik operatsiyalari toʻgʻrisidagi maʼlumotlar birinchi hisobot yili moliyaviy hisobotiga kiritiladi.</w:t>
      </w:r>
    </w:p>
    <w:p w14:paraId="162B3BC3" w14:textId="77777777" w:rsidR="00000000" w:rsidRDefault="008840AF">
      <w:pPr>
        <w:shd w:val="clear" w:color="auto" w:fill="FFFFFF"/>
        <w:ind w:firstLine="851"/>
        <w:jc w:val="both"/>
        <w:divId w:val="2055230951"/>
        <w:rPr>
          <w:rFonts w:eastAsia="Times New Roman"/>
          <w:b/>
          <w:bCs/>
          <w:color w:val="000080"/>
        </w:rPr>
      </w:pPr>
      <w:r>
        <w:rPr>
          <w:rFonts w:eastAsia="Times New Roman"/>
          <w:b/>
          <w:bCs/>
          <w:color w:val="000080"/>
        </w:rPr>
        <w:t>19-modda. Moliyaviy hisobotni taqdim etish</w:t>
      </w:r>
    </w:p>
    <w:p w14:paraId="13A06C7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hisobot quyidagilarga taqdim etiladi:</w:t>
      </w:r>
    </w:p>
    <w:p w14:paraId="0C6E467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soliq organlariga;</w:t>
      </w:r>
    </w:p>
    <w:p w14:paraId="7D92C56E"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taʼsis hujjatlariga muvofiq m</w:t>
      </w:r>
      <w:r>
        <w:rPr>
          <w:rFonts w:eastAsia="Times New Roman"/>
          <w:color w:val="000000"/>
        </w:rPr>
        <w:t>ulkdorlarga;</w:t>
      </w:r>
    </w:p>
    <w:p w14:paraId="02AD0A9F"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davlat statistika organlariga;</w:t>
      </w:r>
    </w:p>
    <w:p w14:paraId="437D1A6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qonun hujjatlariga muvofiq boshqa organlarga.</w:t>
      </w:r>
    </w:p>
    <w:p w14:paraId="316AB47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 hisoboti hisobot yili boshdan qoʻshilib boruvchi jamlama tartibida yilning har choragida taqdim etiladi.</w:t>
      </w:r>
    </w:p>
    <w:p w14:paraId="6599276B"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Moliyaviy hisobotni taqdim etish muddatlarini Oʻzbekis</w:t>
      </w:r>
      <w:r>
        <w:rPr>
          <w:rFonts w:eastAsia="Times New Roman"/>
          <w:color w:val="000000"/>
        </w:rPr>
        <w:t>ton Respublikasi Moliya vazirligi belgilaydi.</w:t>
      </w:r>
    </w:p>
    <w:p w14:paraId="3F8A21F1"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Oʻzbekiston Respublikasi Vazirlar Mahkamasi buxgalteriya hisobining ayrim subyektlari uchun moliyaviy hisobotni taqdim etishning boshqa muddatlarini belgilashi mumkin.</w:t>
      </w:r>
    </w:p>
    <w:p w14:paraId="3144EDDF" w14:textId="77777777" w:rsidR="00000000" w:rsidRDefault="008840AF">
      <w:pPr>
        <w:shd w:val="clear" w:color="auto" w:fill="FFFFFF"/>
        <w:ind w:firstLine="851"/>
        <w:jc w:val="both"/>
        <w:divId w:val="408624422"/>
        <w:rPr>
          <w:rFonts w:eastAsia="Times New Roman"/>
          <w:b/>
          <w:bCs/>
          <w:color w:val="000080"/>
        </w:rPr>
      </w:pPr>
      <w:r>
        <w:rPr>
          <w:rFonts w:eastAsia="Times New Roman"/>
          <w:b/>
          <w:bCs/>
          <w:color w:val="000080"/>
        </w:rPr>
        <w:t>20-modda. Moliyaviy hisobotni eʼlon qilish</w:t>
      </w:r>
    </w:p>
    <w:p w14:paraId="3C665D4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Xoʻjalik yurituvchi subyektlarning yillik moliyaviy hisoboti manfaatdor banklar, birjalar, investorlar, kreditorlar va boshqa shaxslar uchun oshkora hisoblanadi.</w:t>
      </w:r>
    </w:p>
    <w:p w14:paraId="3E1446E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Aksiyadorlik jamiyatlari, shuningdek sugʻurta tashkilotlari, banklar va boshqa moliya tashkil</w:t>
      </w:r>
      <w:r>
        <w:rPr>
          <w:rFonts w:eastAsia="Times New Roman"/>
          <w:color w:val="000000"/>
        </w:rPr>
        <w:t>otlari har yilgi moliyaviy hisobotni aksiyadorlarning yoki buxgalteriya hisobi subyektining boshqa yuqori boshqaruv organining yillik umumiy yigʻilishi oʻtkaziladigan sanadan kamida ikki hafta oldin ijobiy auditorlik xulosasi bilan birga eʼlon qilishi shar</w:t>
      </w:r>
      <w:r>
        <w:rPr>
          <w:rFonts w:eastAsia="Times New Roman"/>
          <w:color w:val="000000"/>
        </w:rPr>
        <w:t>t.</w:t>
      </w:r>
    </w:p>
    <w:p w14:paraId="2AF0DFEA" w14:textId="77777777" w:rsidR="00000000" w:rsidRDefault="008840AF">
      <w:pPr>
        <w:shd w:val="clear" w:color="auto" w:fill="FFFFFF"/>
        <w:ind w:firstLine="851"/>
        <w:jc w:val="both"/>
        <w:divId w:val="1081608842"/>
        <w:rPr>
          <w:rFonts w:eastAsia="Times New Roman"/>
          <w:b/>
          <w:bCs/>
          <w:color w:val="000080"/>
        </w:rPr>
      </w:pPr>
      <w:r>
        <w:rPr>
          <w:rFonts w:eastAsia="Times New Roman"/>
          <w:b/>
          <w:bCs/>
          <w:color w:val="000080"/>
        </w:rPr>
        <w:t>21-modda. Tugatish vaqtida moliyaviy hisobot</w:t>
      </w:r>
    </w:p>
    <w:p w14:paraId="75CADF3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Xoʻjalik yurituvchi subyekt tugatilgan vaqtda yakuniy moliyaviy hisobot tuziladi.</w:t>
      </w:r>
    </w:p>
    <w:p w14:paraId="02E2E8BA"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Tugatish boʻyicha operatsiyalarni hisobga olish, tugatish balansi va hisobotni tuzish, aktivlar qiymatini aniqlash yuzasidan j</w:t>
      </w:r>
      <w:r>
        <w:rPr>
          <w:rFonts w:eastAsia="Times New Roman"/>
          <w:color w:val="000000"/>
        </w:rPr>
        <w:t>avobgarlik tugatish komissiyasi zimmasiga yuklanadi.</w:t>
      </w:r>
    </w:p>
    <w:p w14:paraId="5606D8A6"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Umidsiz qarzlar va zararlar tugatish balansiga kiritilmaydi.</w:t>
      </w:r>
    </w:p>
    <w:p w14:paraId="5FB2312C"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Majburiyatlar ularni uzish vaqtiga qadar hisoblangan foizlari bilan tugatish balansida aks ettiriladi.</w:t>
      </w:r>
    </w:p>
    <w:p w14:paraId="52153FCC" w14:textId="77777777" w:rsidR="00000000" w:rsidRDefault="008840AF">
      <w:pPr>
        <w:shd w:val="clear" w:color="auto" w:fill="FFFFFF"/>
        <w:ind w:firstLine="851"/>
        <w:jc w:val="both"/>
        <w:divId w:val="1542328571"/>
        <w:rPr>
          <w:rFonts w:eastAsia="Times New Roman"/>
          <w:b/>
          <w:bCs/>
          <w:color w:val="000080"/>
        </w:rPr>
      </w:pPr>
      <w:r>
        <w:rPr>
          <w:rFonts w:eastAsia="Times New Roman"/>
          <w:b/>
          <w:bCs/>
          <w:color w:val="000080"/>
        </w:rPr>
        <w:t>22-modda. Buxgalteriya axborotining max</w:t>
      </w:r>
      <w:r>
        <w:rPr>
          <w:rFonts w:eastAsia="Times New Roman"/>
          <w:b/>
          <w:bCs/>
          <w:color w:val="000080"/>
        </w:rPr>
        <w:t>fiyligi</w:t>
      </w:r>
    </w:p>
    <w:p w14:paraId="143D54A5"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hisobini yuritishda maxfiylikka rioya qilinadi. Buxgalteriya hisobi registrlarining mazmuni bilan tanishishga maʼmuriyat ruxsati bilan yoki qonun hujjatlarida nazarda tutilgan hollarda yoʻl qoʻyiladi.</w:t>
      </w:r>
    </w:p>
    <w:p w14:paraId="0FE5082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registrlari bilan tanishishga ruxsat etilgan shaxslar ularning maxfiyligini saqlashlari shart. Maxfiylikni buzganlik qonunda belgilangan tartibda javobgarlikka tortilishga sabab boʻladi.</w:t>
      </w:r>
    </w:p>
    <w:p w14:paraId="6075605B" w14:textId="77777777" w:rsidR="00000000" w:rsidRDefault="008840AF">
      <w:pPr>
        <w:shd w:val="clear" w:color="auto" w:fill="FFFFFF"/>
        <w:ind w:firstLine="851"/>
        <w:jc w:val="both"/>
        <w:divId w:val="1741175244"/>
        <w:rPr>
          <w:rFonts w:eastAsia="Times New Roman"/>
          <w:b/>
          <w:bCs/>
          <w:color w:val="000080"/>
        </w:rPr>
      </w:pPr>
      <w:r>
        <w:rPr>
          <w:rFonts w:eastAsia="Times New Roman"/>
          <w:b/>
          <w:bCs/>
          <w:color w:val="000080"/>
        </w:rPr>
        <w:t>23-modda. Buxgalteriya hujjatlarini saqlash</w:t>
      </w:r>
    </w:p>
    <w:p w14:paraId="11FE6DC2"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w:t>
      </w:r>
      <w:r>
        <w:rPr>
          <w:rFonts w:eastAsia="Times New Roman"/>
          <w:color w:val="000000"/>
        </w:rPr>
        <w:t>lteriya hujjatlari va registrlar, mikrofilmlar yoki kompyuter hisobi moliyaviy maʼlumotlari kamida uch yil, moliyaviy hisobot esa qonun hujjatlarida belgilangan muddat mobaynida saqlanadi.</w:t>
      </w:r>
    </w:p>
    <w:p w14:paraId="68C57820"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hujjatlarini olib qoʻyish qonun hujjatlariga muvofiq a</w:t>
      </w:r>
      <w:r>
        <w:rPr>
          <w:rFonts w:eastAsia="Times New Roman"/>
          <w:color w:val="000000"/>
        </w:rPr>
        <w:t>malga oshiriladi.</w:t>
      </w:r>
    </w:p>
    <w:p w14:paraId="7A9E5CDB" w14:textId="77777777" w:rsidR="00000000" w:rsidRDefault="008840AF">
      <w:pPr>
        <w:shd w:val="clear" w:color="auto" w:fill="FFFFFF"/>
        <w:ind w:firstLine="851"/>
        <w:jc w:val="both"/>
        <w:divId w:val="1340156271"/>
        <w:rPr>
          <w:rFonts w:eastAsia="Times New Roman"/>
          <w:b/>
          <w:bCs/>
          <w:color w:val="000080"/>
        </w:rPr>
      </w:pPr>
      <w:r>
        <w:rPr>
          <w:rFonts w:eastAsia="Times New Roman"/>
          <w:b/>
          <w:bCs/>
          <w:color w:val="000080"/>
        </w:rPr>
        <w:t>24-modda. Buxgalteriya hisobi toʻgʻrisidagi qonun hujjatlarini buzganlik uchun javobgarlik</w:t>
      </w:r>
    </w:p>
    <w:p w14:paraId="285D39B7" w14:textId="77777777" w:rsidR="00000000" w:rsidRDefault="008840AF">
      <w:pPr>
        <w:shd w:val="clear" w:color="auto" w:fill="FFFFFF"/>
        <w:ind w:firstLine="851"/>
        <w:jc w:val="both"/>
        <w:divId w:val="234753337"/>
        <w:rPr>
          <w:rFonts w:eastAsia="Times New Roman"/>
          <w:color w:val="000000"/>
        </w:rPr>
      </w:pPr>
      <w:r>
        <w:rPr>
          <w:rFonts w:eastAsia="Times New Roman"/>
          <w:color w:val="000000"/>
        </w:rPr>
        <w:t>Buxgalteriya hisobi toʻgʻrisidagi qonun hujjatlarini buzgan shaxslar qonun hujjatlarida belgilangan tartibda javobgar boʻladilar.</w:t>
      </w:r>
    </w:p>
    <w:p w14:paraId="1B7BFA93" w14:textId="77777777" w:rsidR="00000000" w:rsidRDefault="008840AF">
      <w:pPr>
        <w:shd w:val="clear" w:color="auto" w:fill="FFFFFF"/>
        <w:jc w:val="right"/>
        <w:divId w:val="201746485"/>
        <w:rPr>
          <w:rFonts w:eastAsia="Times New Roman"/>
          <w:b/>
          <w:bCs/>
          <w:color w:val="000000"/>
        </w:rPr>
      </w:pPr>
      <w:r>
        <w:rPr>
          <w:rFonts w:eastAsia="Times New Roman"/>
          <w:b/>
          <w:bCs/>
          <w:color w:val="000000"/>
        </w:rPr>
        <w:t>Oʻzbekiston Respu</w:t>
      </w:r>
      <w:r>
        <w:rPr>
          <w:rFonts w:eastAsia="Times New Roman"/>
          <w:b/>
          <w:bCs/>
          <w:color w:val="000000"/>
        </w:rPr>
        <w:t>blikasining Prezidenti I. KARIMOV</w:t>
      </w:r>
    </w:p>
    <w:p w14:paraId="7E488BC0" w14:textId="77777777" w:rsidR="00000000" w:rsidRDefault="008840AF">
      <w:pPr>
        <w:shd w:val="clear" w:color="auto" w:fill="FFFFFF"/>
        <w:jc w:val="center"/>
        <w:divId w:val="1906140090"/>
        <w:rPr>
          <w:rFonts w:eastAsia="Times New Roman"/>
          <w:color w:val="000000"/>
          <w:sz w:val="22"/>
          <w:szCs w:val="22"/>
        </w:rPr>
      </w:pPr>
      <w:r>
        <w:rPr>
          <w:rFonts w:eastAsia="Times New Roman"/>
          <w:color w:val="000000"/>
          <w:sz w:val="22"/>
          <w:szCs w:val="22"/>
        </w:rPr>
        <w:t>Toshkent sh.,</w:t>
      </w:r>
    </w:p>
    <w:p w14:paraId="4026475A" w14:textId="77777777" w:rsidR="00000000" w:rsidRDefault="008840AF">
      <w:pPr>
        <w:shd w:val="clear" w:color="auto" w:fill="FFFFFF"/>
        <w:jc w:val="center"/>
        <w:divId w:val="2132508248"/>
        <w:rPr>
          <w:rFonts w:eastAsia="Times New Roman"/>
          <w:color w:val="000000"/>
          <w:sz w:val="22"/>
          <w:szCs w:val="22"/>
        </w:rPr>
      </w:pPr>
      <w:r>
        <w:rPr>
          <w:rFonts w:eastAsia="Times New Roman"/>
          <w:color w:val="000000"/>
          <w:sz w:val="22"/>
          <w:szCs w:val="22"/>
        </w:rPr>
        <w:t>1996-yil 30-avgust,</w:t>
      </w:r>
    </w:p>
    <w:p w14:paraId="178C1240" w14:textId="77777777" w:rsidR="00000000" w:rsidRDefault="008840AF">
      <w:pPr>
        <w:shd w:val="clear" w:color="auto" w:fill="FFFFFF"/>
        <w:jc w:val="center"/>
        <w:divId w:val="360012353"/>
        <w:rPr>
          <w:rFonts w:eastAsia="Times New Roman"/>
          <w:color w:val="000000"/>
          <w:sz w:val="22"/>
          <w:szCs w:val="22"/>
        </w:rPr>
      </w:pPr>
      <w:r>
        <w:rPr>
          <w:rFonts w:eastAsia="Times New Roman"/>
          <w:color w:val="000000"/>
          <w:sz w:val="22"/>
          <w:szCs w:val="22"/>
        </w:rPr>
        <w:t>279-I-son</w:t>
      </w:r>
    </w:p>
    <w:p w14:paraId="73A4F0D2" w14:textId="77777777" w:rsidR="00000000" w:rsidRDefault="008840AF">
      <w:pPr>
        <w:shd w:val="clear" w:color="auto" w:fill="FFFFFF"/>
        <w:divId w:val="234753337"/>
        <w:rPr>
          <w:rFonts w:eastAsia="Times New Roman"/>
        </w:rPr>
      </w:pPr>
    </w:p>
    <w:p w14:paraId="19B7A4BF" w14:textId="77777777" w:rsidR="008840AF" w:rsidRDefault="008840AF">
      <w:pPr>
        <w:shd w:val="clear" w:color="auto" w:fill="FFFFFF"/>
        <w:jc w:val="center"/>
        <w:divId w:val="440303165"/>
        <w:rPr>
          <w:rFonts w:eastAsia="Times New Roman"/>
          <w:i/>
          <w:iCs/>
          <w:color w:val="800000"/>
          <w:sz w:val="22"/>
          <w:szCs w:val="22"/>
        </w:rPr>
      </w:pPr>
      <w:r>
        <w:rPr>
          <w:rFonts w:eastAsia="Times New Roman"/>
          <w:i/>
          <w:iCs/>
          <w:color w:val="800000"/>
          <w:sz w:val="22"/>
          <w:szCs w:val="22"/>
        </w:rPr>
        <w:t>(Oʻzbekiston Respublikasi Oliy Majlisining Axborotnomasi, 1996-y., 9-son, 142-modda; Oʻzbekiston Respublikasi qonun hujjatlari toʻplami, 2013-y., 18-son, 233-modda, 41-son, 543</w:t>
      </w:r>
      <w:r>
        <w:rPr>
          <w:rFonts w:eastAsia="Times New Roman"/>
          <w:i/>
          <w:iCs/>
          <w:color w:val="800000"/>
          <w:sz w:val="22"/>
          <w:szCs w:val="22"/>
        </w:rPr>
        <w:t>-modda, 52-son, 686-modda; 2014-y., 20-son, 222-modda; 2015-y., 52-son, 645-modda)</w:t>
      </w:r>
    </w:p>
    <w:sectPr w:rsidR="008840AF">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14FD"/>
    <w:rsid w:val="00026DE0"/>
    <w:rsid w:val="005514FD"/>
    <w:rsid w:val="00884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10F24"/>
  <w15:chartTrackingRefBased/>
  <w15:docId w15:val="{C29FBD44-64EC-49F7-AA9E-E6C80B9C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3337">
      <w:marLeft w:val="0"/>
      <w:marRight w:val="0"/>
      <w:marTop w:val="100"/>
      <w:marBottom w:val="100"/>
      <w:divBdr>
        <w:top w:val="none" w:sz="0" w:space="0" w:color="auto"/>
        <w:left w:val="none" w:sz="0" w:space="0" w:color="auto"/>
        <w:bottom w:val="none" w:sz="0" w:space="0" w:color="auto"/>
        <w:right w:val="none" w:sz="0" w:space="0" w:color="auto"/>
      </w:divBdr>
      <w:divsChild>
        <w:div w:id="78142892">
          <w:marLeft w:val="0"/>
          <w:marRight w:val="0"/>
          <w:marTop w:val="240"/>
          <w:marBottom w:val="120"/>
          <w:divBdr>
            <w:top w:val="none" w:sz="0" w:space="0" w:color="auto"/>
            <w:left w:val="none" w:sz="0" w:space="0" w:color="auto"/>
            <w:bottom w:val="none" w:sz="0" w:space="0" w:color="auto"/>
            <w:right w:val="none" w:sz="0" w:space="0" w:color="auto"/>
          </w:divBdr>
        </w:div>
        <w:div w:id="828524157">
          <w:marLeft w:val="0"/>
          <w:marRight w:val="0"/>
          <w:marTop w:val="120"/>
          <w:marBottom w:val="60"/>
          <w:divBdr>
            <w:top w:val="none" w:sz="0" w:space="0" w:color="auto"/>
            <w:left w:val="none" w:sz="0" w:space="0" w:color="auto"/>
            <w:bottom w:val="none" w:sz="0" w:space="0" w:color="auto"/>
            <w:right w:val="none" w:sz="0" w:space="0" w:color="auto"/>
          </w:divBdr>
        </w:div>
        <w:div w:id="1284266693">
          <w:marLeft w:val="0"/>
          <w:marRight w:val="0"/>
          <w:marTop w:val="120"/>
          <w:marBottom w:val="60"/>
          <w:divBdr>
            <w:top w:val="none" w:sz="0" w:space="0" w:color="auto"/>
            <w:left w:val="none" w:sz="0" w:space="0" w:color="auto"/>
            <w:bottom w:val="none" w:sz="0" w:space="0" w:color="auto"/>
            <w:right w:val="none" w:sz="0" w:space="0" w:color="auto"/>
          </w:divBdr>
        </w:div>
        <w:div w:id="1443526474">
          <w:marLeft w:val="0"/>
          <w:marRight w:val="0"/>
          <w:marTop w:val="120"/>
          <w:marBottom w:val="60"/>
          <w:divBdr>
            <w:top w:val="none" w:sz="0" w:space="0" w:color="auto"/>
            <w:left w:val="none" w:sz="0" w:space="0" w:color="auto"/>
            <w:bottom w:val="none" w:sz="0" w:space="0" w:color="auto"/>
            <w:right w:val="none" w:sz="0" w:space="0" w:color="auto"/>
          </w:divBdr>
        </w:div>
        <w:div w:id="1917009258">
          <w:marLeft w:val="0"/>
          <w:marRight w:val="0"/>
          <w:marTop w:val="120"/>
          <w:marBottom w:val="60"/>
          <w:divBdr>
            <w:top w:val="none" w:sz="0" w:space="0" w:color="auto"/>
            <w:left w:val="none" w:sz="0" w:space="0" w:color="auto"/>
            <w:bottom w:val="none" w:sz="0" w:space="0" w:color="auto"/>
            <w:right w:val="none" w:sz="0" w:space="0" w:color="auto"/>
          </w:divBdr>
        </w:div>
        <w:div w:id="589119813">
          <w:marLeft w:val="0"/>
          <w:marRight w:val="0"/>
          <w:marTop w:val="120"/>
          <w:marBottom w:val="60"/>
          <w:divBdr>
            <w:top w:val="none" w:sz="0" w:space="0" w:color="auto"/>
            <w:left w:val="none" w:sz="0" w:space="0" w:color="auto"/>
            <w:bottom w:val="none" w:sz="0" w:space="0" w:color="auto"/>
            <w:right w:val="none" w:sz="0" w:space="0" w:color="auto"/>
          </w:divBdr>
        </w:div>
        <w:div w:id="202253342">
          <w:marLeft w:val="0"/>
          <w:marRight w:val="0"/>
          <w:marTop w:val="120"/>
          <w:marBottom w:val="60"/>
          <w:divBdr>
            <w:top w:val="none" w:sz="0" w:space="0" w:color="auto"/>
            <w:left w:val="none" w:sz="0" w:space="0" w:color="auto"/>
            <w:bottom w:val="none" w:sz="0" w:space="0" w:color="auto"/>
            <w:right w:val="none" w:sz="0" w:space="0" w:color="auto"/>
          </w:divBdr>
        </w:div>
        <w:div w:id="541946007">
          <w:marLeft w:val="0"/>
          <w:marRight w:val="0"/>
          <w:marTop w:val="120"/>
          <w:marBottom w:val="60"/>
          <w:divBdr>
            <w:top w:val="none" w:sz="0" w:space="0" w:color="auto"/>
            <w:left w:val="none" w:sz="0" w:space="0" w:color="auto"/>
            <w:bottom w:val="none" w:sz="0" w:space="0" w:color="auto"/>
            <w:right w:val="none" w:sz="0" w:space="0" w:color="auto"/>
          </w:divBdr>
        </w:div>
        <w:div w:id="165094956">
          <w:marLeft w:val="0"/>
          <w:marRight w:val="0"/>
          <w:marTop w:val="120"/>
          <w:marBottom w:val="60"/>
          <w:divBdr>
            <w:top w:val="none" w:sz="0" w:space="0" w:color="auto"/>
            <w:left w:val="none" w:sz="0" w:space="0" w:color="auto"/>
            <w:bottom w:val="none" w:sz="0" w:space="0" w:color="auto"/>
            <w:right w:val="none" w:sz="0" w:space="0" w:color="auto"/>
          </w:divBdr>
        </w:div>
        <w:div w:id="2120027818">
          <w:marLeft w:val="0"/>
          <w:marRight w:val="0"/>
          <w:marTop w:val="120"/>
          <w:marBottom w:val="60"/>
          <w:divBdr>
            <w:top w:val="none" w:sz="0" w:space="0" w:color="auto"/>
            <w:left w:val="none" w:sz="0" w:space="0" w:color="auto"/>
            <w:bottom w:val="none" w:sz="0" w:space="0" w:color="auto"/>
            <w:right w:val="none" w:sz="0" w:space="0" w:color="auto"/>
          </w:divBdr>
        </w:div>
        <w:div w:id="581137060">
          <w:marLeft w:val="0"/>
          <w:marRight w:val="0"/>
          <w:marTop w:val="120"/>
          <w:marBottom w:val="60"/>
          <w:divBdr>
            <w:top w:val="none" w:sz="0" w:space="0" w:color="auto"/>
            <w:left w:val="none" w:sz="0" w:space="0" w:color="auto"/>
            <w:bottom w:val="none" w:sz="0" w:space="0" w:color="auto"/>
            <w:right w:val="none" w:sz="0" w:space="0" w:color="auto"/>
          </w:divBdr>
        </w:div>
        <w:div w:id="836844485">
          <w:marLeft w:val="0"/>
          <w:marRight w:val="0"/>
          <w:marTop w:val="120"/>
          <w:marBottom w:val="60"/>
          <w:divBdr>
            <w:top w:val="none" w:sz="0" w:space="0" w:color="auto"/>
            <w:left w:val="none" w:sz="0" w:space="0" w:color="auto"/>
            <w:bottom w:val="none" w:sz="0" w:space="0" w:color="auto"/>
            <w:right w:val="none" w:sz="0" w:space="0" w:color="auto"/>
          </w:divBdr>
        </w:div>
        <w:div w:id="436103730">
          <w:marLeft w:val="0"/>
          <w:marRight w:val="0"/>
          <w:marTop w:val="120"/>
          <w:marBottom w:val="60"/>
          <w:divBdr>
            <w:top w:val="none" w:sz="0" w:space="0" w:color="auto"/>
            <w:left w:val="none" w:sz="0" w:space="0" w:color="auto"/>
            <w:bottom w:val="none" w:sz="0" w:space="0" w:color="auto"/>
            <w:right w:val="none" w:sz="0" w:space="0" w:color="auto"/>
          </w:divBdr>
        </w:div>
        <w:div w:id="688531417">
          <w:marLeft w:val="0"/>
          <w:marRight w:val="0"/>
          <w:marTop w:val="120"/>
          <w:marBottom w:val="60"/>
          <w:divBdr>
            <w:top w:val="none" w:sz="0" w:space="0" w:color="auto"/>
            <w:left w:val="none" w:sz="0" w:space="0" w:color="auto"/>
            <w:bottom w:val="none" w:sz="0" w:space="0" w:color="auto"/>
            <w:right w:val="none" w:sz="0" w:space="0" w:color="auto"/>
          </w:divBdr>
        </w:div>
        <w:div w:id="1342127172">
          <w:marLeft w:val="0"/>
          <w:marRight w:val="0"/>
          <w:marTop w:val="120"/>
          <w:marBottom w:val="60"/>
          <w:divBdr>
            <w:top w:val="none" w:sz="0" w:space="0" w:color="auto"/>
            <w:left w:val="none" w:sz="0" w:space="0" w:color="auto"/>
            <w:bottom w:val="none" w:sz="0" w:space="0" w:color="auto"/>
            <w:right w:val="none" w:sz="0" w:space="0" w:color="auto"/>
          </w:divBdr>
        </w:div>
        <w:div w:id="501161343">
          <w:marLeft w:val="0"/>
          <w:marRight w:val="0"/>
          <w:marTop w:val="120"/>
          <w:marBottom w:val="60"/>
          <w:divBdr>
            <w:top w:val="none" w:sz="0" w:space="0" w:color="auto"/>
            <w:left w:val="none" w:sz="0" w:space="0" w:color="auto"/>
            <w:bottom w:val="none" w:sz="0" w:space="0" w:color="auto"/>
            <w:right w:val="none" w:sz="0" w:space="0" w:color="auto"/>
          </w:divBdr>
        </w:div>
        <w:div w:id="857042441">
          <w:marLeft w:val="0"/>
          <w:marRight w:val="0"/>
          <w:marTop w:val="120"/>
          <w:marBottom w:val="60"/>
          <w:divBdr>
            <w:top w:val="none" w:sz="0" w:space="0" w:color="auto"/>
            <w:left w:val="none" w:sz="0" w:space="0" w:color="auto"/>
            <w:bottom w:val="none" w:sz="0" w:space="0" w:color="auto"/>
            <w:right w:val="none" w:sz="0" w:space="0" w:color="auto"/>
          </w:divBdr>
        </w:div>
        <w:div w:id="2028557240">
          <w:marLeft w:val="0"/>
          <w:marRight w:val="0"/>
          <w:marTop w:val="120"/>
          <w:marBottom w:val="60"/>
          <w:divBdr>
            <w:top w:val="none" w:sz="0" w:space="0" w:color="auto"/>
            <w:left w:val="none" w:sz="0" w:space="0" w:color="auto"/>
            <w:bottom w:val="none" w:sz="0" w:space="0" w:color="auto"/>
            <w:right w:val="none" w:sz="0" w:space="0" w:color="auto"/>
          </w:divBdr>
        </w:div>
        <w:div w:id="1562864450">
          <w:marLeft w:val="0"/>
          <w:marRight w:val="0"/>
          <w:marTop w:val="120"/>
          <w:marBottom w:val="60"/>
          <w:divBdr>
            <w:top w:val="none" w:sz="0" w:space="0" w:color="auto"/>
            <w:left w:val="none" w:sz="0" w:space="0" w:color="auto"/>
            <w:bottom w:val="none" w:sz="0" w:space="0" w:color="auto"/>
            <w:right w:val="none" w:sz="0" w:space="0" w:color="auto"/>
          </w:divBdr>
        </w:div>
        <w:div w:id="2055230951">
          <w:marLeft w:val="0"/>
          <w:marRight w:val="0"/>
          <w:marTop w:val="120"/>
          <w:marBottom w:val="60"/>
          <w:divBdr>
            <w:top w:val="none" w:sz="0" w:space="0" w:color="auto"/>
            <w:left w:val="none" w:sz="0" w:space="0" w:color="auto"/>
            <w:bottom w:val="none" w:sz="0" w:space="0" w:color="auto"/>
            <w:right w:val="none" w:sz="0" w:space="0" w:color="auto"/>
          </w:divBdr>
        </w:div>
        <w:div w:id="408624422">
          <w:marLeft w:val="0"/>
          <w:marRight w:val="0"/>
          <w:marTop w:val="120"/>
          <w:marBottom w:val="60"/>
          <w:divBdr>
            <w:top w:val="none" w:sz="0" w:space="0" w:color="auto"/>
            <w:left w:val="none" w:sz="0" w:space="0" w:color="auto"/>
            <w:bottom w:val="none" w:sz="0" w:space="0" w:color="auto"/>
            <w:right w:val="none" w:sz="0" w:space="0" w:color="auto"/>
          </w:divBdr>
        </w:div>
        <w:div w:id="1081608842">
          <w:marLeft w:val="0"/>
          <w:marRight w:val="0"/>
          <w:marTop w:val="120"/>
          <w:marBottom w:val="60"/>
          <w:divBdr>
            <w:top w:val="none" w:sz="0" w:space="0" w:color="auto"/>
            <w:left w:val="none" w:sz="0" w:space="0" w:color="auto"/>
            <w:bottom w:val="none" w:sz="0" w:space="0" w:color="auto"/>
            <w:right w:val="none" w:sz="0" w:space="0" w:color="auto"/>
          </w:divBdr>
        </w:div>
        <w:div w:id="1542328571">
          <w:marLeft w:val="0"/>
          <w:marRight w:val="0"/>
          <w:marTop w:val="120"/>
          <w:marBottom w:val="60"/>
          <w:divBdr>
            <w:top w:val="none" w:sz="0" w:space="0" w:color="auto"/>
            <w:left w:val="none" w:sz="0" w:space="0" w:color="auto"/>
            <w:bottom w:val="none" w:sz="0" w:space="0" w:color="auto"/>
            <w:right w:val="none" w:sz="0" w:space="0" w:color="auto"/>
          </w:divBdr>
        </w:div>
        <w:div w:id="1741175244">
          <w:marLeft w:val="0"/>
          <w:marRight w:val="0"/>
          <w:marTop w:val="120"/>
          <w:marBottom w:val="60"/>
          <w:divBdr>
            <w:top w:val="none" w:sz="0" w:space="0" w:color="auto"/>
            <w:left w:val="none" w:sz="0" w:space="0" w:color="auto"/>
            <w:bottom w:val="none" w:sz="0" w:space="0" w:color="auto"/>
            <w:right w:val="none" w:sz="0" w:space="0" w:color="auto"/>
          </w:divBdr>
        </w:div>
        <w:div w:id="1340156271">
          <w:marLeft w:val="0"/>
          <w:marRight w:val="0"/>
          <w:marTop w:val="120"/>
          <w:marBottom w:val="60"/>
          <w:divBdr>
            <w:top w:val="none" w:sz="0" w:space="0" w:color="auto"/>
            <w:left w:val="none" w:sz="0" w:space="0" w:color="auto"/>
            <w:bottom w:val="none" w:sz="0" w:space="0" w:color="auto"/>
            <w:right w:val="none" w:sz="0" w:space="0" w:color="auto"/>
          </w:divBdr>
        </w:div>
        <w:div w:id="201746485">
          <w:marLeft w:val="0"/>
          <w:marRight w:val="0"/>
          <w:marTop w:val="120"/>
          <w:marBottom w:val="120"/>
          <w:divBdr>
            <w:top w:val="none" w:sz="0" w:space="0" w:color="auto"/>
            <w:left w:val="none" w:sz="0" w:space="0" w:color="auto"/>
            <w:bottom w:val="none" w:sz="0" w:space="0" w:color="auto"/>
            <w:right w:val="none" w:sz="0" w:space="0" w:color="auto"/>
          </w:divBdr>
        </w:div>
        <w:div w:id="1906140090">
          <w:marLeft w:val="0"/>
          <w:marRight w:val="70"/>
          <w:marTop w:val="0"/>
          <w:marBottom w:val="0"/>
          <w:divBdr>
            <w:top w:val="none" w:sz="0" w:space="0" w:color="auto"/>
            <w:left w:val="none" w:sz="0" w:space="0" w:color="auto"/>
            <w:bottom w:val="none" w:sz="0" w:space="0" w:color="auto"/>
            <w:right w:val="none" w:sz="0" w:space="0" w:color="auto"/>
          </w:divBdr>
        </w:div>
        <w:div w:id="2132508248">
          <w:marLeft w:val="0"/>
          <w:marRight w:val="70"/>
          <w:marTop w:val="0"/>
          <w:marBottom w:val="0"/>
          <w:divBdr>
            <w:top w:val="none" w:sz="0" w:space="0" w:color="auto"/>
            <w:left w:val="none" w:sz="0" w:space="0" w:color="auto"/>
            <w:bottom w:val="none" w:sz="0" w:space="0" w:color="auto"/>
            <w:right w:val="none" w:sz="0" w:space="0" w:color="auto"/>
          </w:divBdr>
        </w:div>
        <w:div w:id="360012353">
          <w:marLeft w:val="0"/>
          <w:marRight w:val="70"/>
          <w:marTop w:val="0"/>
          <w:marBottom w:val="0"/>
          <w:divBdr>
            <w:top w:val="none" w:sz="0" w:space="0" w:color="auto"/>
            <w:left w:val="none" w:sz="0" w:space="0" w:color="auto"/>
            <w:bottom w:val="none" w:sz="0" w:space="0" w:color="auto"/>
            <w:right w:val="none" w:sz="0" w:space="0" w:color="auto"/>
          </w:divBdr>
        </w:div>
        <w:div w:id="440303165">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crollText(-106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279-I 30.08.1996</dc:title>
  <dc:subject/>
  <dc:creator>HP</dc:creator>
  <cp:keywords/>
  <dc:description/>
  <cp:lastModifiedBy>HP</cp:lastModifiedBy>
  <cp:revision>2</cp:revision>
  <dcterms:created xsi:type="dcterms:W3CDTF">2025-11-14T05:44:00Z</dcterms:created>
  <dcterms:modified xsi:type="dcterms:W3CDTF">2025-11-14T05:44:00Z</dcterms:modified>
</cp:coreProperties>
</file>